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9C79" w14:textId="18CBCAD7" w:rsidR="00F33108" w:rsidRPr="008F704B" w:rsidRDefault="00F33108" w:rsidP="00DD206B">
      <w:pPr>
        <w:spacing w:before="240" w:after="120" w:line="360" w:lineRule="auto"/>
        <w:ind w:left="3320" w:right="2361"/>
        <w:contextualSpacing/>
        <w:jc w:val="both"/>
        <w:rPr>
          <w:rFonts w:cs="Times New Roman"/>
          <w:sz w:val="22"/>
          <w:szCs w:val="22"/>
        </w:rPr>
      </w:pPr>
    </w:p>
    <w:p w14:paraId="233267C3" w14:textId="18A95BA4" w:rsidR="0066586D" w:rsidRPr="008F704B" w:rsidRDefault="0066586D" w:rsidP="00DD206B">
      <w:pPr>
        <w:spacing w:before="240" w:after="120" w:line="360" w:lineRule="auto"/>
        <w:ind w:left="3320" w:right="2361"/>
        <w:contextualSpacing/>
        <w:jc w:val="both"/>
        <w:rPr>
          <w:rFonts w:cs="Times New Roman"/>
          <w:sz w:val="22"/>
          <w:szCs w:val="22"/>
        </w:rPr>
      </w:pPr>
    </w:p>
    <w:p w14:paraId="67328AFB" w14:textId="31D9C9A5" w:rsidR="0066586D" w:rsidRPr="008F704B" w:rsidRDefault="0006569C" w:rsidP="00DD206B">
      <w:pPr>
        <w:spacing w:before="240" w:after="120" w:line="360" w:lineRule="auto"/>
        <w:ind w:left="3320" w:right="2361"/>
        <w:contextualSpacing/>
        <w:jc w:val="both"/>
        <w:rPr>
          <w:rFonts w:cs="Times New Roman"/>
          <w:sz w:val="22"/>
          <w:szCs w:val="22"/>
        </w:rPr>
      </w:pPr>
      <w:r w:rsidRPr="008F704B">
        <w:rPr>
          <w:rFonts w:cs="Times New Roman"/>
          <w:noProof/>
          <w:sz w:val="22"/>
          <w:szCs w:val="22"/>
          <w:lang w:eastAsia="fr-FR"/>
        </w:rPr>
        <mc:AlternateContent>
          <mc:Choice Requires="wps">
            <w:drawing>
              <wp:anchor distT="45720" distB="45720" distL="114300" distR="114300" simplePos="0" relativeHeight="251658240" behindDoc="0" locked="0" layoutInCell="1" allowOverlap="1" wp14:anchorId="7713E999" wp14:editId="2C3CC20E">
                <wp:simplePos x="0" y="0"/>
                <wp:positionH relativeFrom="margin">
                  <wp:align>left</wp:align>
                </wp:positionH>
                <wp:positionV relativeFrom="paragraph">
                  <wp:posOffset>247650</wp:posOffset>
                </wp:positionV>
                <wp:extent cx="5905500" cy="1783080"/>
                <wp:effectExtent l="0" t="0" r="0" b="0"/>
                <wp:wrapSquare wrapText="bothSides"/>
                <wp:docPr id="12" name="Zone de text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1783080"/>
                        </a:xfrm>
                        <a:prstGeom prst="rect">
                          <a:avLst/>
                        </a:prstGeom>
                        <a:noFill/>
                        <a:ln w="9525">
                          <a:noFill/>
                          <a:miter lim="800000"/>
                          <a:headEnd/>
                          <a:tailEnd/>
                        </a:ln>
                      </wps:spPr>
                      <wps:txbx>
                        <w:txbxContent>
                          <w:p w14:paraId="5364AA27" w14:textId="77777777" w:rsidR="0097372B" w:rsidRDefault="0097372B" w:rsidP="00F33108">
                            <w:pPr>
                              <w:shd w:val="clear" w:color="auto" w:fill="4EA72E" w:themeFill="accent6"/>
                              <w:jc w:val="center"/>
                              <w:rPr>
                                <w:rFonts w:ascii="Century Gothic" w:hAnsi="Century Gothic"/>
                                <w:b/>
                                <w:color w:val="FFFFFF" w:themeColor="background1"/>
                                <w:sz w:val="40"/>
                                <w:szCs w:val="40"/>
                              </w:rPr>
                            </w:pPr>
                            <w:r>
                              <w:rPr>
                                <w:rFonts w:ascii="Century Gothic" w:hAnsi="Century Gothic"/>
                                <w:b/>
                                <w:color w:val="FFFFFF" w:themeColor="background1"/>
                                <w:sz w:val="40"/>
                                <w:szCs w:val="40"/>
                              </w:rPr>
                              <w:t>Evaluation Nationale des Risques de Blanchiment de Capitaux, de Financement du Terrorisme et de la prolifération des armes de destruction massive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13E999" id="_x0000_t202" coordsize="21600,21600" o:spt="202" path="m,l,21600r21600,l21600,xe">
                <v:stroke joinstyle="miter"/>
                <v:path gradientshapeok="t" o:connecttype="rect"/>
              </v:shapetype>
              <v:shape id="Zone de texte 12" o:spid="_x0000_s1026" type="#_x0000_t202" style="position:absolute;left:0;text-align:left;margin-left:0;margin-top:19.5pt;width:465pt;height:140.4pt;z-index:2516582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" filled="f" stroked="f">
                <v:textbox>
                  <w:txbxContent>
                    <w:p w14:paraId="5364AA27" w14:textId="77777777" w:rsidR="0097372B" w:rsidRDefault="0097372B" w:rsidP="00F33108">
                      <w:pPr>
                        <w:shd w:val="clear" w:color="auto" w:fill="4EA72E" w:themeFill="accent6"/>
                        <w:jc w:val="center"/>
                        <w:rPr>
                          <w:rFonts w:ascii="Century Gothic" w:hAnsi="Century Gothic"/>
                          <w:b/>
                          <w:color w:val="FFFFFF" w:themeColor="background1"/>
                          <w:sz w:val="40"/>
                          <w:szCs w:val="40"/>
                        </w:rPr>
                      </w:pPr>
                      <w:r>
                        <w:rPr>
                          <w:rFonts w:ascii="Century Gothic" w:hAnsi="Century Gothic"/>
                          <w:b/>
                          <w:color w:val="FFFFFF" w:themeColor="background1"/>
                          <w:sz w:val="40"/>
                          <w:szCs w:val="40"/>
                        </w:rPr>
                        <w:t>Evaluation Nationale des Risques de Blanchiment de Capitaux, de Financement du Terrorisme et de la prolifération des armes de destruction massive</w:t>
                      </w:r>
                    </w:p>
                  </w:txbxContent>
                </v:textbox>
                <w10:wrap type="square" anchorx="margin"/>
              </v:shape>
            </w:pict>
          </mc:Fallback>
        </mc:AlternateContent>
      </w:r>
    </w:p>
    <w:p w14:paraId="330C9956" w14:textId="68D0224E" w:rsidR="00F33108" w:rsidRPr="008F704B" w:rsidRDefault="00F33108" w:rsidP="00DD206B">
      <w:pPr>
        <w:tabs>
          <w:tab w:val="left" w:pos="1440"/>
          <w:tab w:val="left" w:pos="3105"/>
        </w:tabs>
        <w:spacing w:before="240" w:after="120" w:line="360" w:lineRule="auto"/>
        <w:contextualSpacing/>
        <w:jc w:val="both"/>
        <w:rPr>
          <w:rFonts w:cs="Times New Roman"/>
          <w:sz w:val="22"/>
          <w:szCs w:val="22"/>
        </w:rPr>
      </w:pPr>
      <w:r w:rsidRPr="008F704B">
        <w:rPr>
          <w:rFonts w:cs="Times New Roman"/>
          <w:sz w:val="22"/>
          <w:szCs w:val="22"/>
        </w:rPr>
        <w:tab/>
      </w:r>
      <w:r w:rsidRPr="008F704B">
        <w:rPr>
          <w:rFonts w:cs="Times New Roman"/>
          <w:sz w:val="22"/>
          <w:szCs w:val="22"/>
        </w:rPr>
        <w:tab/>
      </w:r>
    </w:p>
    <w:p w14:paraId="056347BF" w14:textId="526EF267" w:rsidR="00F33108" w:rsidRPr="008F704B" w:rsidRDefault="00406206" w:rsidP="005C6CD8">
      <w:pPr>
        <w:spacing w:before="240" w:after="120" w:line="360" w:lineRule="auto"/>
        <w:contextualSpacing/>
        <w:jc w:val="center"/>
        <w:rPr>
          <w:rFonts w:cs="Times New Roman"/>
          <w:sz w:val="22"/>
          <w:szCs w:val="22"/>
        </w:rPr>
      </w:pPr>
      <w:r w:rsidRPr="008F704B">
        <w:rPr>
          <w:rFonts w:cs="Times New Roman"/>
          <w:noProof/>
          <w:sz w:val="22"/>
          <w:szCs w:val="22"/>
          <w:lang w:eastAsia="fr-FR"/>
        </w:rPr>
        <mc:AlternateContent>
          <mc:Choice Requires="wps">
            <w:drawing>
              <wp:anchor distT="0" distB="0" distL="114300" distR="114300" simplePos="0" relativeHeight="251661312" behindDoc="1" locked="0" layoutInCell="1" allowOverlap="1" wp14:anchorId="10FC3B89" wp14:editId="2DCC7FAA">
                <wp:simplePos x="0" y="0"/>
                <wp:positionH relativeFrom="margin">
                  <wp:posOffset>76835</wp:posOffset>
                </wp:positionH>
                <wp:positionV relativeFrom="paragraph">
                  <wp:posOffset>9525</wp:posOffset>
                </wp:positionV>
                <wp:extent cx="5883965" cy="1331595"/>
                <wp:effectExtent l="0" t="0" r="2540" b="1905"/>
                <wp:wrapNone/>
                <wp:docPr id="53" name="Forme libr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83965" cy="1331595"/>
                        </a:xfrm>
                        <a:custGeom>
                          <a:avLst/>
                          <a:gdLst>
                            <a:gd name="T0" fmla="+- 0 720 720"/>
                            <a:gd name="T1" fmla="*/ T0 w 10466"/>
                            <a:gd name="T2" fmla="+- 0 5328 3764"/>
                            <a:gd name="T3" fmla="*/ 5328 h 1565"/>
                            <a:gd name="T4" fmla="+- 0 11186 720"/>
                            <a:gd name="T5" fmla="*/ T4 w 10466"/>
                            <a:gd name="T6" fmla="+- 0 5328 3764"/>
                            <a:gd name="T7" fmla="*/ 5328 h 1565"/>
                            <a:gd name="T8" fmla="+- 0 11186 720"/>
                            <a:gd name="T9" fmla="*/ T8 w 10466"/>
                            <a:gd name="T10" fmla="+- 0 3764 3764"/>
                            <a:gd name="T11" fmla="*/ 3764 h 1565"/>
                            <a:gd name="T12" fmla="+- 0 720 720"/>
                            <a:gd name="T13" fmla="*/ T12 w 10466"/>
                            <a:gd name="T14" fmla="+- 0 3764 3764"/>
                            <a:gd name="T15" fmla="*/ 3764 h 1565"/>
                            <a:gd name="T16" fmla="+- 0 720 720"/>
                            <a:gd name="T17" fmla="*/ T16 w 10466"/>
                            <a:gd name="T18" fmla="+- 0 5328 3764"/>
                            <a:gd name="T19" fmla="*/ 5328 h 1565"/>
                          </a:gdLst>
                          <a:ahLst/>
                          <a:cxnLst>
                            <a:cxn ang="0">
                              <a:pos x="T1" y="T3"/>
                            </a:cxn>
                            <a:cxn ang="0">
                              <a:pos x="T5" y="T7"/>
                            </a:cxn>
                            <a:cxn ang="0">
                              <a:pos x="T9" y="T11"/>
                            </a:cxn>
                            <a:cxn ang="0">
                              <a:pos x="T13" y="T15"/>
                            </a:cxn>
                            <a:cxn ang="0">
                              <a:pos x="T17" y="T19"/>
                            </a:cxn>
                          </a:cxnLst>
                          <a:rect l="0" t="0" r="r" b="b"/>
                          <a:pathLst>
                            <a:path w="10466" h="1565">
                              <a:moveTo>
                                <a:pt x="0" y="1564"/>
                              </a:moveTo>
                              <a:lnTo>
                                <a:pt x="10466" y="1564"/>
                              </a:lnTo>
                              <a:lnTo>
                                <a:pt x="10466" y="0"/>
                              </a:lnTo>
                              <a:lnTo>
                                <a:pt x="0" y="0"/>
                              </a:lnTo>
                              <a:lnTo>
                                <a:pt x="0" y="1564"/>
                              </a:lnTo>
                              <a:close/>
                            </a:path>
                          </a:pathLst>
                        </a:custGeom>
                        <a:solidFill>
                          <a:schemeClr val="accent6">
                            <a:lumMod val="7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E974E1" id="Forme libre 1" o:spid="_x0000_s1026" style="position:absolute;margin-left:6.05pt;margin-top:.75pt;width:463.3pt;height:104.8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coordsize="10466,1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" path="m,1564r10466,l10466,,,,,1564xe" fillcolor="#3a7c22 [2409]" stroked="f">
                <v:path arrowok="t" o:connecttype="custom" o:connectlocs="0,4533379;5883965,4533379;5883965,3202635;0,3202635;0,4533379" o:connectangles="0,0,0,0,0"/>
                <w10:wrap anchorx="margin"/>
              </v:shape>
            </w:pict>
          </mc:Fallback>
        </mc:AlternateContent>
      </w:r>
    </w:p>
    <w:p w14:paraId="460748C0" w14:textId="5F8CD449" w:rsidR="00F33108" w:rsidRPr="00406206" w:rsidRDefault="00F33108" w:rsidP="005C6CD8">
      <w:pPr>
        <w:spacing w:before="240" w:after="120" w:line="360" w:lineRule="auto"/>
        <w:ind w:left="648"/>
        <w:contextualSpacing/>
        <w:jc w:val="center"/>
        <w:rPr>
          <w:rFonts w:eastAsia="Century Gothic" w:cs="Times New Roman"/>
          <w:b/>
          <w:position w:val="-2"/>
          <w:sz w:val="32"/>
          <w:szCs w:val="32"/>
        </w:rPr>
      </w:pPr>
      <w:r w:rsidRPr="00406206">
        <w:rPr>
          <w:rFonts w:eastAsia="Century Gothic" w:cs="Times New Roman"/>
          <w:b/>
          <w:position w:val="-2"/>
          <w:sz w:val="40"/>
          <w:szCs w:val="40"/>
        </w:rPr>
        <w:t>MISE À JOUR DE LA MENACE DE BLANCHIMENT DES CAPITAUX</w:t>
      </w:r>
    </w:p>
    <w:p w14:paraId="191F6B74" w14:textId="0DC4780E" w:rsidR="00F33108" w:rsidRPr="008F704B" w:rsidRDefault="00F33108" w:rsidP="00DD206B">
      <w:pPr>
        <w:spacing w:before="240" w:after="120" w:line="360" w:lineRule="auto"/>
        <w:ind w:left="1341"/>
        <w:contextualSpacing/>
        <w:jc w:val="both"/>
        <w:rPr>
          <w:rFonts w:eastAsia="Century Gothic" w:cs="Times New Roman"/>
          <w:i/>
          <w:position w:val="-2"/>
          <w:sz w:val="22"/>
          <w:szCs w:val="22"/>
        </w:rPr>
      </w:pPr>
    </w:p>
    <w:p w14:paraId="656A0207" w14:textId="75EDB6C2" w:rsidR="00F33108" w:rsidRPr="008F704B" w:rsidRDefault="00F33108" w:rsidP="00DD206B">
      <w:pPr>
        <w:spacing w:before="240" w:after="120" w:line="360" w:lineRule="auto"/>
        <w:contextualSpacing/>
        <w:jc w:val="both"/>
        <w:rPr>
          <w:rFonts w:cs="Times New Roman"/>
          <w:sz w:val="22"/>
          <w:szCs w:val="22"/>
        </w:rPr>
      </w:pPr>
    </w:p>
    <w:p w14:paraId="62BC4D5B" w14:textId="33784D52" w:rsidR="00F33108" w:rsidRPr="008F704B" w:rsidRDefault="00F33108" w:rsidP="00DD206B">
      <w:pPr>
        <w:spacing w:before="240" w:after="120" w:line="360" w:lineRule="auto"/>
        <w:contextualSpacing/>
        <w:jc w:val="both"/>
        <w:rPr>
          <w:rFonts w:cs="Times New Roman"/>
          <w:sz w:val="22"/>
          <w:szCs w:val="22"/>
        </w:rPr>
      </w:pPr>
      <w:r w:rsidRPr="008F704B">
        <w:rPr>
          <w:rFonts w:cs="Times New Roman"/>
          <w:noProof/>
          <w:sz w:val="22"/>
          <w:szCs w:val="22"/>
          <w:lang w:eastAsia="fr-FR"/>
        </w:rPr>
        <mc:AlternateContent>
          <mc:Choice Requires="wps">
            <w:drawing>
              <wp:anchor distT="0" distB="0" distL="114300" distR="114300" simplePos="0" relativeHeight="251659264" behindDoc="1" locked="0" layoutInCell="1" allowOverlap="1" wp14:anchorId="5E71A3FA" wp14:editId="5B1F7CAA">
                <wp:simplePos x="0" y="0"/>
                <wp:positionH relativeFrom="margin">
                  <wp:align>left</wp:align>
                </wp:positionH>
                <wp:positionV relativeFrom="paragraph">
                  <wp:posOffset>1783716</wp:posOffset>
                </wp:positionV>
                <wp:extent cx="6219825" cy="45719"/>
                <wp:effectExtent l="0" t="0" r="28575" b="12065"/>
                <wp:wrapNone/>
                <wp:docPr id="3" name="Forme libr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6219825" cy="45719"/>
                        </a:xfrm>
                        <a:custGeom>
                          <a:avLst/>
                          <a:gdLst>
                            <a:gd name="T0" fmla="+- 0 720 720"/>
                            <a:gd name="T1" fmla="*/ T0 w 10466"/>
                            <a:gd name="T2" fmla="+- 0 11186 720"/>
                            <a:gd name="T3" fmla="*/ T2 w 10466"/>
                          </a:gdLst>
                          <a:ahLst/>
                          <a:cxnLst>
                            <a:cxn ang="0">
                              <a:pos x="T1" y="0"/>
                            </a:cxn>
                            <a:cxn ang="0">
                              <a:pos x="T3" y="0"/>
                            </a:cxn>
                          </a:cxnLst>
                          <a:rect l="0" t="0" r="r" b="b"/>
                          <a:pathLst>
                            <a:path w="10466">
                              <a:moveTo>
                                <a:pt x="0" y="0"/>
                              </a:moveTo>
                              <a:lnTo>
                                <a:pt x="10466" y="0"/>
                              </a:lnTo>
                            </a:path>
                          </a:pathLst>
                        </a:custGeom>
                        <a:noFill/>
                        <a:ln w="28702">
                          <a:solidFill>
                            <a:srgbClr val="E26C09"/>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dtfl="http://schemas.microsoft.com/office/word/2024/wordml/sdtformatlock">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075AA9" id="Forme libre 3" o:spid="_x0000_s1026" style="position:absolute;margin-left:0;margin-top:140.45pt;width:489.75pt;height:3.6pt;flip:y;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coordsize="10466,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" path="m,l10466,e" filled="f" strokecolor="#e26c09" strokeweight="2.26pt">
                <v:path arrowok="t" o:connecttype="custom" o:connectlocs="0,0;6219825,0" o:connectangles="0,0"/>
                <w10:wrap anchorx="margin"/>
              </v:shape>
            </w:pict>
          </mc:Fallback>
        </mc:AlternateContent>
      </w:r>
    </w:p>
    <w:p w14:paraId="6CF086FB" w14:textId="2C4A1A25" w:rsidR="00F33108" w:rsidRPr="008F704B" w:rsidRDefault="00F33108" w:rsidP="00DD206B">
      <w:pPr>
        <w:spacing w:before="240" w:after="120" w:line="360" w:lineRule="auto"/>
        <w:contextualSpacing/>
        <w:jc w:val="both"/>
        <w:rPr>
          <w:rFonts w:cs="Times New Roman"/>
          <w:sz w:val="22"/>
          <w:szCs w:val="22"/>
        </w:rPr>
      </w:pPr>
    </w:p>
    <w:p w14:paraId="0829D102" w14:textId="77777777" w:rsidR="002E22F1" w:rsidRPr="008F704B" w:rsidRDefault="00F33108" w:rsidP="00DB1ED7">
      <w:pPr>
        <w:spacing w:before="240" w:after="120" w:line="360" w:lineRule="auto"/>
        <w:contextualSpacing/>
        <w:jc w:val="center"/>
        <w:rPr>
          <w:rFonts w:eastAsia="Century Gothic" w:cs="Times New Roman"/>
          <w:b/>
          <w:bCs/>
          <w:sz w:val="22"/>
          <w:szCs w:val="22"/>
        </w:rPr>
        <w:sectPr w:rsidR="002E22F1" w:rsidRPr="008F704B" w:rsidSect="004838E6">
          <w:headerReference w:type="default" r:id="rId8"/>
          <w:footerReference w:type="default" r:id="rId9"/>
          <w:headerReference w:type="first" r:id="rId10"/>
          <w:footerReference w:type="first" r:id="rId11"/>
          <w:type w:val="continuous"/>
          <w:pgSz w:w="11906" w:h="16838" w:code="9"/>
          <w:pgMar w:top="1418" w:right="1274" w:bottom="1418" w:left="1418" w:header="709" w:footer="709" w:gutter="0"/>
          <w:pgNumType w:start="0"/>
          <w:cols w:space="708"/>
          <w:titlePg/>
          <w:docGrid w:linePitch="360"/>
        </w:sectPr>
      </w:pPr>
      <w:r w:rsidRPr="008F704B">
        <w:rPr>
          <w:rFonts w:cs="Times New Roman"/>
          <w:noProof/>
          <w:sz w:val="22"/>
          <w:szCs w:val="22"/>
          <w:lang w:eastAsia="fr-FR"/>
        </w:rPr>
        <mc:AlternateContent>
          <mc:Choice Requires="wps">
            <w:drawing>
              <wp:anchor distT="0" distB="0" distL="114300" distR="114300" simplePos="0" relativeHeight="251660288" behindDoc="1" locked="0" layoutInCell="1" allowOverlap="1" wp14:anchorId="1F783D93" wp14:editId="57BD6C64">
                <wp:simplePos x="0" y="0"/>
                <wp:positionH relativeFrom="margin">
                  <wp:align>left</wp:align>
                </wp:positionH>
                <wp:positionV relativeFrom="paragraph">
                  <wp:posOffset>1631867</wp:posOffset>
                </wp:positionV>
                <wp:extent cx="5983356" cy="571500"/>
                <wp:effectExtent l="0" t="0" r="0" b="0"/>
                <wp:wrapNone/>
                <wp:docPr id="6" name="Forme libr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83356" cy="571500"/>
                        </a:xfrm>
                        <a:custGeom>
                          <a:avLst/>
                          <a:gdLst>
                            <a:gd name="T0" fmla="+- 0 11078 828"/>
                            <a:gd name="T1" fmla="*/ T0 w 10250"/>
                            <a:gd name="T2" fmla="+- 0 15602 15602"/>
                            <a:gd name="T3" fmla="*/ 15602 h 276"/>
                            <a:gd name="T4" fmla="+- 0 828 828"/>
                            <a:gd name="T5" fmla="*/ T4 w 10250"/>
                            <a:gd name="T6" fmla="+- 0 15602 15602"/>
                            <a:gd name="T7" fmla="*/ 15602 h 276"/>
                            <a:gd name="T8" fmla="+- 0 828 828"/>
                            <a:gd name="T9" fmla="*/ T8 w 10250"/>
                            <a:gd name="T10" fmla="+- 0 15878 15602"/>
                            <a:gd name="T11" fmla="*/ 15878 h 276"/>
                            <a:gd name="T12" fmla="+- 0 11078 828"/>
                            <a:gd name="T13" fmla="*/ T12 w 10250"/>
                            <a:gd name="T14" fmla="+- 0 15878 15602"/>
                            <a:gd name="T15" fmla="*/ 15878 h 276"/>
                            <a:gd name="T16" fmla="+- 0 11078 828"/>
                            <a:gd name="T17" fmla="*/ T16 w 10250"/>
                            <a:gd name="T18" fmla="+- 0 15602 15602"/>
                            <a:gd name="T19" fmla="*/ 15602 h 276"/>
                          </a:gdLst>
                          <a:ahLst/>
                          <a:cxnLst>
                            <a:cxn ang="0">
                              <a:pos x="T1" y="T3"/>
                            </a:cxn>
                            <a:cxn ang="0">
                              <a:pos x="T5" y="T7"/>
                            </a:cxn>
                            <a:cxn ang="0">
                              <a:pos x="T9" y="T11"/>
                            </a:cxn>
                            <a:cxn ang="0">
                              <a:pos x="T13" y="T15"/>
                            </a:cxn>
                            <a:cxn ang="0">
                              <a:pos x="T17" y="T19"/>
                            </a:cxn>
                          </a:cxnLst>
                          <a:rect l="0" t="0" r="r" b="b"/>
                          <a:pathLst>
                            <a:path w="10250" h="276">
                              <a:moveTo>
                                <a:pt x="10250" y="0"/>
                              </a:moveTo>
                              <a:lnTo>
                                <a:pt x="0" y="0"/>
                              </a:lnTo>
                              <a:lnTo>
                                <a:pt x="0" y="276"/>
                              </a:lnTo>
                              <a:lnTo>
                                <a:pt x="10250" y="276"/>
                              </a:lnTo>
                              <a:lnTo>
                                <a:pt x="10250" y="0"/>
                              </a:lnTo>
                              <a:close/>
                            </a:path>
                          </a:pathLst>
                        </a:custGeom>
                        <a:solidFill>
                          <a:srgbClr val="00B050"/>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dtfl="http://schemas.microsoft.com/office/word/2024/wordml/sdtformatlock" w="9525">
                              <a:solidFill>
                                <a:srgbClr val="000000"/>
                              </a:solidFill>
                              <a:round/>
                              <a:headEnd/>
                              <a:tailEnd/>
                            </a14:hiddenLine>
                          </a:ext>
                        </a:extLst>
                      </wps:spPr>
                      <wps:txbx>
                        <w:txbxContent>
                          <w:p w14:paraId="579310A0" w14:textId="751CE58E" w:rsidR="0097372B" w:rsidRDefault="00CA6F7D" w:rsidP="00F33108">
                            <w:pPr>
                              <w:jc w:val="center"/>
                            </w:pPr>
                            <w:r>
                              <w:rPr>
                                <w:b/>
                                <w:sz w:val="40"/>
                                <w:szCs w:val="40"/>
                              </w:rPr>
                              <w:t>Août 2025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783D93" id="Forme libre 6" o:spid="_x0000_s1027" style="position:absolute;left:0;text-align:left;margin-left:0;margin-top:128.5pt;width:471.15pt;height:45pt;z-index:-2516561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coordsize="10250,27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" adj="-11796480,,5400" path="m10250,l,,,276r10250,l10250,xe" fillcolor="#00b050" stroked="f">
                <v:stroke joinstyle="miter"/>
                <v:formulas/>
                <v:path arrowok="t" o:connecttype="custom" o:connectlocs="5983356,32306315;0,32306315;0,32877815;5983356,32877815;5983356,32306315" o:connectangles="0,0,0,0,0" textboxrect="0,0,10250,276"/>
                <v:textbox>
                  <w:txbxContent>
                    <w:p w14:paraId="579310A0" w14:textId="751CE58E" w:rsidR="0097372B" w:rsidRDefault="00CA6F7D" w:rsidP="00F33108">
                      <w:pPr>
                        <w:jc w:val="center"/>
                      </w:pPr>
                      <w:r>
                        <w:rPr>
                          <w:b/>
                          <w:sz w:val="40"/>
                          <w:szCs w:val="40"/>
                        </w:rPr>
                        <w:t>Août 2025</w:t>
                      </w:r>
                    </w:p>
                  </w:txbxContent>
                </v:textbox>
                <w10:wrap anchorx="margin"/>
              </v:shape>
            </w:pict>
          </mc:Fallback>
        </mc:AlternateContent>
      </w:r>
      <w:r w:rsidRPr="008F704B">
        <w:rPr>
          <w:rFonts w:eastAsia="Century Gothic" w:cs="Times New Roman"/>
          <w:b/>
          <w:bCs/>
          <w:sz w:val="22"/>
          <w:szCs w:val="22"/>
        </w:rPr>
        <w:t>CÔTE</w:t>
      </w:r>
      <w:r w:rsidRPr="008F704B">
        <w:rPr>
          <w:rFonts w:eastAsia="Century Gothic" w:cs="Times New Roman"/>
          <w:b/>
          <w:bCs/>
          <w:sz w:val="22"/>
          <w:szCs w:val="22"/>
        </w:rPr>
        <w:tab/>
        <w:t xml:space="preserve"> D’IVOIRE</w:t>
      </w:r>
    </w:p>
    <w:p w14:paraId="62772CBD" w14:textId="77777777" w:rsidR="00F33108" w:rsidRPr="008F704B" w:rsidRDefault="00F33108" w:rsidP="00DD206B">
      <w:pPr>
        <w:spacing w:before="240" w:after="120" w:line="360" w:lineRule="auto"/>
        <w:contextualSpacing/>
        <w:jc w:val="both"/>
        <w:rPr>
          <w:rFonts w:eastAsia="Century Gothic" w:cs="Times New Roman"/>
          <w:b/>
          <w:bCs/>
          <w:sz w:val="22"/>
          <w:szCs w:val="22"/>
        </w:rPr>
        <w:sectPr w:rsidR="00F33108" w:rsidRPr="008F704B" w:rsidSect="004838E6">
          <w:pgSz w:w="11906" w:h="16838" w:code="9"/>
          <w:pgMar w:top="1418" w:right="1274" w:bottom="1418" w:left="1418" w:header="709" w:footer="709" w:gutter="0"/>
          <w:pgNumType w:start="0"/>
          <w:cols w:space="708"/>
          <w:titlePg/>
          <w:docGrid w:linePitch="360"/>
        </w:sectPr>
      </w:pPr>
    </w:p>
    <w:sdt>
      <w:sdtPr>
        <w:rPr>
          <w:rFonts w:ascii="Times New Roman" w:eastAsiaTheme="minorEastAsia" w:hAnsi="Times New Roman" w:cs="Times New Roman"/>
          <w:color w:val="auto"/>
          <w:sz w:val="22"/>
          <w:szCs w:val="22"/>
          <w:lang w:val="fr-FR"/>
        </w:rPr>
        <w:id w:val="2125189070"/>
        <w:docPartObj>
          <w:docPartGallery w:val="Table of Contents"/>
          <w:docPartUnique/>
        </w:docPartObj>
      </w:sdtPr>
      <w:sdtEndPr>
        <w:rPr>
          <w:b/>
          <w:bCs/>
        </w:rPr>
      </w:sdtEndPr>
      <w:sdtContent>
        <w:p w14:paraId="34F7F6EE" w14:textId="77C1D24B" w:rsidR="002E22F1" w:rsidRPr="008F704B" w:rsidRDefault="002E22F1" w:rsidP="00DD206B">
          <w:pPr>
            <w:pStyle w:val="En-ttedetabledesmatires"/>
            <w:spacing w:line="360" w:lineRule="auto"/>
            <w:jc w:val="both"/>
            <w:rPr>
              <w:rFonts w:ascii="Times New Roman" w:hAnsi="Times New Roman" w:cs="Times New Roman"/>
              <w:b/>
              <w:bCs/>
              <w:color w:val="auto"/>
              <w:sz w:val="22"/>
              <w:szCs w:val="22"/>
              <w:lang w:val="fr-FR"/>
            </w:rPr>
          </w:pPr>
          <w:r w:rsidRPr="008F704B">
            <w:rPr>
              <w:rFonts w:ascii="Times New Roman" w:hAnsi="Times New Roman" w:cs="Times New Roman"/>
              <w:b/>
              <w:bCs/>
              <w:color w:val="auto"/>
              <w:sz w:val="22"/>
              <w:szCs w:val="22"/>
              <w:lang w:val="fr-FR"/>
            </w:rPr>
            <w:t>SOMMAIRE</w:t>
          </w:r>
        </w:p>
        <w:p w14:paraId="131D98AD" w14:textId="77777777" w:rsidR="002E22F1" w:rsidRPr="008F704B" w:rsidRDefault="002E22F1" w:rsidP="00DD206B">
          <w:pPr>
            <w:spacing w:line="360" w:lineRule="auto"/>
            <w:jc w:val="both"/>
            <w:rPr>
              <w:rFonts w:cs="Times New Roman"/>
              <w:sz w:val="22"/>
              <w:szCs w:val="22"/>
            </w:rPr>
          </w:pPr>
        </w:p>
        <w:p w14:paraId="505DEBA2" w14:textId="7F5ADDE5" w:rsidR="00942212" w:rsidRDefault="002E22F1">
          <w:pPr>
            <w:pStyle w:val="TM1"/>
            <w:tabs>
              <w:tab w:val="right" w:leader="dot" w:pos="9016"/>
            </w:tabs>
            <w:rPr>
              <w:rFonts w:asciiTheme="minorHAnsi" w:hAnsiTheme="minorHAnsi"/>
              <w:noProof/>
              <w:kern w:val="2"/>
              <w:sz w:val="22"/>
              <w:szCs w:val="22"/>
              <w:lang w:val="fr-CI" w:eastAsia="fr-CI"/>
              <w14:ligatures w14:val="standardContextual"/>
            </w:rPr>
          </w:pPr>
          <w:r w:rsidRPr="008F704B">
            <w:rPr>
              <w:rFonts w:cs="Times New Roman"/>
              <w:sz w:val="22"/>
              <w:szCs w:val="22"/>
            </w:rPr>
            <w:fldChar w:fldCharType="begin"/>
          </w:r>
          <w:r w:rsidRPr="008F704B">
            <w:rPr>
              <w:rFonts w:cs="Times New Roman"/>
              <w:sz w:val="22"/>
              <w:szCs w:val="22"/>
            </w:rPr>
            <w:instrText xml:space="preserve"> TOC \o "1-3" \h \z \u </w:instrText>
          </w:r>
          <w:r w:rsidRPr="008F704B">
            <w:rPr>
              <w:rFonts w:cs="Times New Roman"/>
              <w:sz w:val="22"/>
              <w:szCs w:val="22"/>
            </w:rPr>
            <w:fldChar w:fldCharType="separate"/>
          </w:r>
          <w:hyperlink w:anchor="_Toc213326894" w:history="1">
            <w:r w:rsidR="00942212" w:rsidRPr="00AF6DA8">
              <w:rPr>
                <w:rStyle w:val="Lienhypertexte"/>
                <w:noProof/>
              </w:rPr>
              <w:t>Introduction</w:t>
            </w:r>
            <w:r w:rsidR="00942212">
              <w:rPr>
                <w:noProof/>
                <w:webHidden/>
              </w:rPr>
              <w:tab/>
            </w:r>
            <w:r w:rsidR="00942212">
              <w:rPr>
                <w:noProof/>
                <w:webHidden/>
              </w:rPr>
              <w:fldChar w:fldCharType="begin"/>
            </w:r>
            <w:r w:rsidR="00942212">
              <w:rPr>
                <w:noProof/>
                <w:webHidden/>
              </w:rPr>
              <w:instrText xml:space="preserve"> PAGEREF _Toc213326894 \h </w:instrText>
            </w:r>
            <w:r w:rsidR="00942212">
              <w:rPr>
                <w:noProof/>
                <w:webHidden/>
              </w:rPr>
            </w:r>
            <w:r w:rsidR="00942212">
              <w:rPr>
                <w:noProof/>
                <w:webHidden/>
              </w:rPr>
              <w:fldChar w:fldCharType="separate"/>
            </w:r>
            <w:r w:rsidR="00942212">
              <w:rPr>
                <w:noProof/>
                <w:webHidden/>
              </w:rPr>
              <w:t>1</w:t>
            </w:r>
            <w:r w:rsidR="00942212">
              <w:rPr>
                <w:noProof/>
                <w:webHidden/>
              </w:rPr>
              <w:fldChar w:fldCharType="end"/>
            </w:r>
          </w:hyperlink>
        </w:p>
        <w:p w14:paraId="3E2594F8" w14:textId="14362608" w:rsidR="00942212" w:rsidRDefault="00942212">
          <w:pPr>
            <w:pStyle w:val="TM1"/>
            <w:tabs>
              <w:tab w:val="right" w:leader="dot" w:pos="9016"/>
            </w:tabs>
            <w:rPr>
              <w:rFonts w:asciiTheme="minorHAnsi" w:hAnsiTheme="minorHAnsi"/>
              <w:noProof/>
              <w:kern w:val="2"/>
              <w:sz w:val="22"/>
              <w:szCs w:val="22"/>
              <w:lang w:val="fr-CI" w:eastAsia="fr-CI"/>
              <w14:ligatures w14:val="standardContextual"/>
            </w:rPr>
          </w:pPr>
          <w:hyperlink w:anchor="_Toc213326895" w:history="1">
            <w:r w:rsidRPr="00AF6DA8">
              <w:rPr>
                <w:rStyle w:val="Lienhypertexte"/>
                <w:noProof/>
              </w:rPr>
              <w:t>Méthodologie</w:t>
            </w:r>
            <w:r>
              <w:rPr>
                <w:noProof/>
                <w:webHidden/>
              </w:rPr>
              <w:tab/>
            </w:r>
            <w:r>
              <w:rPr>
                <w:noProof/>
                <w:webHidden/>
              </w:rPr>
              <w:fldChar w:fldCharType="begin"/>
            </w:r>
            <w:r>
              <w:rPr>
                <w:noProof/>
                <w:webHidden/>
              </w:rPr>
              <w:instrText xml:space="preserve"> PAGEREF _Toc213326895 \h </w:instrText>
            </w:r>
            <w:r>
              <w:rPr>
                <w:noProof/>
                <w:webHidden/>
              </w:rPr>
            </w:r>
            <w:r>
              <w:rPr>
                <w:noProof/>
                <w:webHidden/>
              </w:rPr>
              <w:fldChar w:fldCharType="separate"/>
            </w:r>
            <w:r>
              <w:rPr>
                <w:noProof/>
                <w:webHidden/>
              </w:rPr>
              <w:t>3</w:t>
            </w:r>
            <w:r>
              <w:rPr>
                <w:noProof/>
                <w:webHidden/>
              </w:rPr>
              <w:fldChar w:fldCharType="end"/>
            </w:r>
          </w:hyperlink>
        </w:p>
        <w:p w14:paraId="42D0D63F" w14:textId="0EFF0A49" w:rsidR="00942212" w:rsidRDefault="00942212">
          <w:pPr>
            <w:pStyle w:val="TM1"/>
            <w:tabs>
              <w:tab w:val="right" w:leader="dot" w:pos="9016"/>
            </w:tabs>
            <w:rPr>
              <w:rFonts w:asciiTheme="minorHAnsi" w:hAnsiTheme="minorHAnsi"/>
              <w:noProof/>
              <w:kern w:val="2"/>
              <w:sz w:val="22"/>
              <w:szCs w:val="22"/>
              <w:lang w:val="fr-CI" w:eastAsia="fr-CI"/>
              <w14:ligatures w14:val="standardContextual"/>
            </w:rPr>
          </w:pPr>
          <w:hyperlink w:anchor="_Toc213326896" w:history="1">
            <w:r w:rsidRPr="00AF6DA8">
              <w:rPr>
                <w:rStyle w:val="Lienhypertexte"/>
                <w:noProof/>
              </w:rPr>
              <w:t>ANALYSE DE LA MENACE DE BC</w:t>
            </w:r>
            <w:r>
              <w:rPr>
                <w:noProof/>
                <w:webHidden/>
              </w:rPr>
              <w:tab/>
            </w:r>
            <w:r>
              <w:rPr>
                <w:noProof/>
                <w:webHidden/>
              </w:rPr>
              <w:fldChar w:fldCharType="begin"/>
            </w:r>
            <w:r>
              <w:rPr>
                <w:noProof/>
                <w:webHidden/>
              </w:rPr>
              <w:instrText xml:space="preserve"> PAGEREF _Toc213326896 \h </w:instrText>
            </w:r>
            <w:r>
              <w:rPr>
                <w:noProof/>
                <w:webHidden/>
              </w:rPr>
            </w:r>
            <w:r>
              <w:rPr>
                <w:noProof/>
                <w:webHidden/>
              </w:rPr>
              <w:fldChar w:fldCharType="separate"/>
            </w:r>
            <w:r>
              <w:rPr>
                <w:noProof/>
                <w:webHidden/>
              </w:rPr>
              <w:t>5</w:t>
            </w:r>
            <w:r>
              <w:rPr>
                <w:noProof/>
                <w:webHidden/>
              </w:rPr>
              <w:fldChar w:fldCharType="end"/>
            </w:r>
          </w:hyperlink>
        </w:p>
        <w:p w14:paraId="60B7F4CB" w14:textId="088E2346" w:rsidR="00942212" w:rsidRDefault="00942212">
          <w:pPr>
            <w:pStyle w:val="TM2"/>
            <w:tabs>
              <w:tab w:val="left" w:pos="660"/>
              <w:tab w:val="right" w:leader="dot" w:pos="9016"/>
            </w:tabs>
            <w:rPr>
              <w:rFonts w:asciiTheme="minorHAnsi" w:hAnsiTheme="minorHAnsi"/>
              <w:noProof/>
              <w:kern w:val="2"/>
              <w:sz w:val="22"/>
              <w:szCs w:val="22"/>
              <w:lang w:val="fr-CI" w:eastAsia="fr-CI"/>
              <w14:ligatures w14:val="standardContextual"/>
            </w:rPr>
          </w:pPr>
          <w:hyperlink w:anchor="_Toc213326897" w:history="1">
            <w:r w:rsidRPr="00AF6DA8">
              <w:rPr>
                <w:rStyle w:val="Lienhypertexte"/>
                <w:noProof/>
              </w:rPr>
              <w:t>I-</w:t>
            </w:r>
            <w:r>
              <w:rPr>
                <w:rFonts w:asciiTheme="minorHAnsi" w:hAnsiTheme="minorHAnsi"/>
                <w:noProof/>
                <w:kern w:val="2"/>
                <w:sz w:val="22"/>
                <w:szCs w:val="22"/>
                <w:lang w:val="fr-CI" w:eastAsia="fr-CI"/>
                <w14:ligatures w14:val="standardContextual"/>
              </w:rPr>
              <w:tab/>
            </w:r>
            <w:r w:rsidRPr="00AF6DA8">
              <w:rPr>
                <w:rStyle w:val="Lienhypertexte"/>
                <w:noProof/>
              </w:rPr>
              <w:t>EVALUATION DE LA MENACE SELON L’ORIGINE</w:t>
            </w:r>
            <w:r>
              <w:rPr>
                <w:noProof/>
                <w:webHidden/>
              </w:rPr>
              <w:tab/>
            </w:r>
            <w:r>
              <w:rPr>
                <w:noProof/>
                <w:webHidden/>
              </w:rPr>
              <w:fldChar w:fldCharType="begin"/>
            </w:r>
            <w:r>
              <w:rPr>
                <w:noProof/>
                <w:webHidden/>
              </w:rPr>
              <w:instrText xml:space="preserve"> PAGEREF _Toc213326897 \h </w:instrText>
            </w:r>
            <w:r>
              <w:rPr>
                <w:noProof/>
                <w:webHidden/>
              </w:rPr>
            </w:r>
            <w:r>
              <w:rPr>
                <w:noProof/>
                <w:webHidden/>
              </w:rPr>
              <w:fldChar w:fldCharType="separate"/>
            </w:r>
            <w:r>
              <w:rPr>
                <w:noProof/>
                <w:webHidden/>
              </w:rPr>
              <w:t>5</w:t>
            </w:r>
            <w:r>
              <w:rPr>
                <w:noProof/>
                <w:webHidden/>
              </w:rPr>
              <w:fldChar w:fldCharType="end"/>
            </w:r>
          </w:hyperlink>
        </w:p>
        <w:p w14:paraId="0C36FBA5" w14:textId="324613DB" w:rsidR="00942212" w:rsidRDefault="00942212">
          <w:pPr>
            <w:pStyle w:val="TM3"/>
            <w:tabs>
              <w:tab w:val="left" w:pos="880"/>
              <w:tab w:val="right" w:leader="dot" w:pos="9016"/>
            </w:tabs>
            <w:rPr>
              <w:rFonts w:asciiTheme="minorHAnsi" w:hAnsiTheme="minorHAnsi"/>
              <w:noProof/>
              <w:kern w:val="2"/>
              <w:sz w:val="22"/>
              <w:szCs w:val="22"/>
              <w:lang w:val="fr-CI" w:eastAsia="fr-CI"/>
              <w14:ligatures w14:val="standardContextual"/>
            </w:rPr>
          </w:pPr>
          <w:hyperlink w:anchor="_Toc213326898" w:history="1">
            <w:r w:rsidRPr="00AF6DA8">
              <w:rPr>
                <w:rStyle w:val="Lienhypertexte"/>
                <w:noProof/>
              </w:rPr>
              <w:t>I.1</w:t>
            </w:r>
            <w:r>
              <w:rPr>
                <w:rFonts w:asciiTheme="minorHAnsi" w:hAnsiTheme="minorHAnsi"/>
                <w:noProof/>
                <w:kern w:val="2"/>
                <w:sz w:val="22"/>
                <w:szCs w:val="22"/>
                <w:lang w:val="fr-CI" w:eastAsia="fr-CI"/>
                <w14:ligatures w14:val="standardContextual"/>
              </w:rPr>
              <w:tab/>
            </w:r>
            <w:r w:rsidRPr="00AF6DA8">
              <w:rPr>
                <w:rStyle w:val="Lienhypertexte"/>
                <w:noProof/>
              </w:rPr>
              <w:t>Menace intérieure</w:t>
            </w:r>
            <w:r>
              <w:rPr>
                <w:noProof/>
                <w:webHidden/>
              </w:rPr>
              <w:tab/>
            </w:r>
            <w:r>
              <w:rPr>
                <w:noProof/>
                <w:webHidden/>
              </w:rPr>
              <w:fldChar w:fldCharType="begin"/>
            </w:r>
            <w:r>
              <w:rPr>
                <w:noProof/>
                <w:webHidden/>
              </w:rPr>
              <w:instrText xml:space="preserve"> PAGEREF _Toc213326898 \h </w:instrText>
            </w:r>
            <w:r>
              <w:rPr>
                <w:noProof/>
                <w:webHidden/>
              </w:rPr>
            </w:r>
            <w:r>
              <w:rPr>
                <w:noProof/>
                <w:webHidden/>
              </w:rPr>
              <w:fldChar w:fldCharType="separate"/>
            </w:r>
            <w:r>
              <w:rPr>
                <w:noProof/>
                <w:webHidden/>
              </w:rPr>
              <w:t>5</w:t>
            </w:r>
            <w:r>
              <w:rPr>
                <w:noProof/>
                <w:webHidden/>
              </w:rPr>
              <w:fldChar w:fldCharType="end"/>
            </w:r>
          </w:hyperlink>
        </w:p>
        <w:p w14:paraId="3460B1FF" w14:textId="2F0028F7" w:rsidR="00942212" w:rsidRDefault="00942212">
          <w:pPr>
            <w:pStyle w:val="TM3"/>
            <w:tabs>
              <w:tab w:val="left" w:pos="880"/>
              <w:tab w:val="right" w:leader="dot" w:pos="9016"/>
            </w:tabs>
            <w:rPr>
              <w:rFonts w:asciiTheme="minorHAnsi" w:hAnsiTheme="minorHAnsi"/>
              <w:noProof/>
              <w:kern w:val="2"/>
              <w:sz w:val="22"/>
              <w:szCs w:val="22"/>
              <w:lang w:val="fr-CI" w:eastAsia="fr-CI"/>
              <w14:ligatures w14:val="standardContextual"/>
            </w:rPr>
          </w:pPr>
          <w:hyperlink w:anchor="_Toc213326899" w:history="1">
            <w:r w:rsidRPr="00AF6DA8">
              <w:rPr>
                <w:rStyle w:val="Lienhypertexte"/>
                <w:noProof/>
              </w:rPr>
              <w:t>I.2</w:t>
            </w:r>
            <w:r>
              <w:rPr>
                <w:rFonts w:asciiTheme="minorHAnsi" w:hAnsiTheme="minorHAnsi"/>
                <w:noProof/>
                <w:kern w:val="2"/>
                <w:sz w:val="22"/>
                <w:szCs w:val="22"/>
                <w:lang w:val="fr-CI" w:eastAsia="fr-CI"/>
                <w14:ligatures w14:val="standardContextual"/>
              </w:rPr>
              <w:tab/>
            </w:r>
            <w:r w:rsidRPr="00AF6DA8">
              <w:rPr>
                <w:rStyle w:val="Lienhypertexte"/>
                <w:noProof/>
              </w:rPr>
              <w:t>Menace extérieure (Transfrontalière)</w:t>
            </w:r>
            <w:r>
              <w:rPr>
                <w:noProof/>
                <w:webHidden/>
              </w:rPr>
              <w:tab/>
            </w:r>
            <w:r>
              <w:rPr>
                <w:noProof/>
                <w:webHidden/>
              </w:rPr>
              <w:fldChar w:fldCharType="begin"/>
            </w:r>
            <w:r>
              <w:rPr>
                <w:noProof/>
                <w:webHidden/>
              </w:rPr>
              <w:instrText xml:space="preserve"> PAGEREF _Toc213326899 \h </w:instrText>
            </w:r>
            <w:r>
              <w:rPr>
                <w:noProof/>
                <w:webHidden/>
              </w:rPr>
            </w:r>
            <w:r>
              <w:rPr>
                <w:noProof/>
                <w:webHidden/>
              </w:rPr>
              <w:fldChar w:fldCharType="separate"/>
            </w:r>
            <w:r>
              <w:rPr>
                <w:noProof/>
                <w:webHidden/>
              </w:rPr>
              <w:t>16</w:t>
            </w:r>
            <w:r>
              <w:rPr>
                <w:noProof/>
                <w:webHidden/>
              </w:rPr>
              <w:fldChar w:fldCharType="end"/>
            </w:r>
          </w:hyperlink>
        </w:p>
        <w:p w14:paraId="7C99614B" w14:textId="38E31D88" w:rsidR="00942212" w:rsidRDefault="00942212">
          <w:pPr>
            <w:pStyle w:val="TM3"/>
            <w:tabs>
              <w:tab w:val="left" w:pos="880"/>
              <w:tab w:val="right" w:leader="dot" w:pos="9016"/>
            </w:tabs>
            <w:rPr>
              <w:rFonts w:asciiTheme="minorHAnsi" w:hAnsiTheme="minorHAnsi"/>
              <w:noProof/>
              <w:kern w:val="2"/>
              <w:sz w:val="22"/>
              <w:szCs w:val="22"/>
              <w:lang w:val="fr-CI" w:eastAsia="fr-CI"/>
              <w14:ligatures w14:val="standardContextual"/>
            </w:rPr>
          </w:pPr>
          <w:hyperlink w:anchor="_Toc213326900" w:history="1">
            <w:r w:rsidRPr="00AF6DA8">
              <w:rPr>
                <w:rStyle w:val="Lienhypertexte"/>
                <w:noProof/>
              </w:rPr>
              <w:t>I.3</w:t>
            </w:r>
            <w:r>
              <w:rPr>
                <w:rFonts w:asciiTheme="minorHAnsi" w:hAnsiTheme="minorHAnsi"/>
                <w:noProof/>
                <w:kern w:val="2"/>
                <w:sz w:val="22"/>
                <w:szCs w:val="22"/>
                <w:lang w:val="fr-CI" w:eastAsia="fr-CI"/>
                <w14:ligatures w14:val="standardContextual"/>
              </w:rPr>
              <w:tab/>
            </w:r>
            <w:r w:rsidRPr="00AF6DA8">
              <w:rPr>
                <w:rStyle w:val="Lienhypertexte"/>
                <w:noProof/>
              </w:rPr>
              <w:t>Menace de blanchiment de capitaux dit autonome</w:t>
            </w:r>
            <w:r>
              <w:rPr>
                <w:noProof/>
                <w:webHidden/>
              </w:rPr>
              <w:tab/>
            </w:r>
            <w:r>
              <w:rPr>
                <w:noProof/>
                <w:webHidden/>
              </w:rPr>
              <w:fldChar w:fldCharType="begin"/>
            </w:r>
            <w:r>
              <w:rPr>
                <w:noProof/>
                <w:webHidden/>
              </w:rPr>
              <w:instrText xml:space="preserve"> PAGEREF _Toc213326900 \h </w:instrText>
            </w:r>
            <w:r>
              <w:rPr>
                <w:noProof/>
                <w:webHidden/>
              </w:rPr>
            </w:r>
            <w:r>
              <w:rPr>
                <w:noProof/>
                <w:webHidden/>
              </w:rPr>
              <w:fldChar w:fldCharType="separate"/>
            </w:r>
            <w:r>
              <w:rPr>
                <w:noProof/>
                <w:webHidden/>
              </w:rPr>
              <w:t>28</w:t>
            </w:r>
            <w:r>
              <w:rPr>
                <w:noProof/>
                <w:webHidden/>
              </w:rPr>
              <w:fldChar w:fldCharType="end"/>
            </w:r>
          </w:hyperlink>
        </w:p>
        <w:p w14:paraId="23367C66" w14:textId="1E7BBB86" w:rsidR="00942212" w:rsidRDefault="00942212">
          <w:pPr>
            <w:pStyle w:val="TM2"/>
            <w:tabs>
              <w:tab w:val="left" w:pos="660"/>
              <w:tab w:val="right" w:leader="dot" w:pos="9016"/>
            </w:tabs>
            <w:rPr>
              <w:rFonts w:asciiTheme="minorHAnsi" w:hAnsiTheme="minorHAnsi"/>
              <w:noProof/>
              <w:kern w:val="2"/>
              <w:sz w:val="22"/>
              <w:szCs w:val="22"/>
              <w:lang w:val="fr-CI" w:eastAsia="fr-CI"/>
              <w14:ligatures w14:val="standardContextual"/>
            </w:rPr>
          </w:pPr>
          <w:hyperlink w:anchor="_Toc213326901" w:history="1">
            <w:r w:rsidRPr="00AF6DA8">
              <w:rPr>
                <w:rStyle w:val="Lienhypertexte"/>
                <w:noProof/>
              </w:rPr>
              <w:t>II-</w:t>
            </w:r>
            <w:r>
              <w:rPr>
                <w:rFonts w:asciiTheme="minorHAnsi" w:hAnsiTheme="minorHAnsi"/>
                <w:noProof/>
                <w:kern w:val="2"/>
                <w:sz w:val="22"/>
                <w:szCs w:val="22"/>
                <w:lang w:val="fr-CI" w:eastAsia="fr-CI"/>
                <w14:ligatures w14:val="standardContextual"/>
              </w:rPr>
              <w:tab/>
            </w:r>
            <w:r w:rsidRPr="00AF6DA8">
              <w:rPr>
                <w:rStyle w:val="Lienhypertexte"/>
                <w:noProof/>
              </w:rPr>
              <w:t>EVALUATION DE LA MENACE SELON LES SECTEURS ASSUJETTIS</w:t>
            </w:r>
            <w:r>
              <w:rPr>
                <w:noProof/>
                <w:webHidden/>
              </w:rPr>
              <w:tab/>
            </w:r>
            <w:r>
              <w:rPr>
                <w:noProof/>
                <w:webHidden/>
              </w:rPr>
              <w:fldChar w:fldCharType="begin"/>
            </w:r>
            <w:r>
              <w:rPr>
                <w:noProof/>
                <w:webHidden/>
              </w:rPr>
              <w:instrText xml:space="preserve"> PAGEREF _Toc213326901 \h </w:instrText>
            </w:r>
            <w:r>
              <w:rPr>
                <w:noProof/>
                <w:webHidden/>
              </w:rPr>
            </w:r>
            <w:r>
              <w:rPr>
                <w:noProof/>
                <w:webHidden/>
              </w:rPr>
              <w:fldChar w:fldCharType="separate"/>
            </w:r>
            <w:r>
              <w:rPr>
                <w:noProof/>
                <w:webHidden/>
              </w:rPr>
              <w:t>30</w:t>
            </w:r>
            <w:r>
              <w:rPr>
                <w:noProof/>
                <w:webHidden/>
              </w:rPr>
              <w:fldChar w:fldCharType="end"/>
            </w:r>
          </w:hyperlink>
        </w:p>
        <w:p w14:paraId="7C4F1C29" w14:textId="0817F4A1" w:rsidR="00942212" w:rsidRDefault="00942212">
          <w:pPr>
            <w:pStyle w:val="TM3"/>
            <w:tabs>
              <w:tab w:val="left" w:pos="1100"/>
              <w:tab w:val="right" w:leader="dot" w:pos="9016"/>
            </w:tabs>
            <w:rPr>
              <w:rFonts w:asciiTheme="minorHAnsi" w:hAnsiTheme="minorHAnsi"/>
              <w:noProof/>
              <w:kern w:val="2"/>
              <w:sz w:val="22"/>
              <w:szCs w:val="22"/>
              <w:lang w:val="fr-CI" w:eastAsia="fr-CI"/>
              <w14:ligatures w14:val="standardContextual"/>
            </w:rPr>
          </w:pPr>
          <w:hyperlink w:anchor="_Toc213326902" w:history="1">
            <w:r w:rsidRPr="00AF6DA8">
              <w:rPr>
                <w:rStyle w:val="Lienhypertexte"/>
                <w:noProof/>
              </w:rPr>
              <w:t>II.1</w:t>
            </w:r>
            <w:r>
              <w:rPr>
                <w:rFonts w:asciiTheme="minorHAnsi" w:hAnsiTheme="minorHAnsi"/>
                <w:noProof/>
                <w:kern w:val="2"/>
                <w:sz w:val="22"/>
                <w:szCs w:val="22"/>
                <w:lang w:val="fr-CI" w:eastAsia="fr-CI"/>
                <w14:ligatures w14:val="standardContextual"/>
              </w:rPr>
              <w:tab/>
            </w:r>
            <w:r w:rsidRPr="00AF6DA8">
              <w:rPr>
                <w:rStyle w:val="Lienhypertexte"/>
                <w:noProof/>
              </w:rPr>
              <w:t>Evaluation de la menace liée au secteur Bancaire</w:t>
            </w:r>
            <w:r>
              <w:rPr>
                <w:noProof/>
                <w:webHidden/>
              </w:rPr>
              <w:tab/>
            </w:r>
            <w:r>
              <w:rPr>
                <w:noProof/>
                <w:webHidden/>
              </w:rPr>
              <w:fldChar w:fldCharType="begin"/>
            </w:r>
            <w:r>
              <w:rPr>
                <w:noProof/>
                <w:webHidden/>
              </w:rPr>
              <w:instrText xml:space="preserve"> PAGEREF _Toc213326902 \h </w:instrText>
            </w:r>
            <w:r>
              <w:rPr>
                <w:noProof/>
                <w:webHidden/>
              </w:rPr>
            </w:r>
            <w:r>
              <w:rPr>
                <w:noProof/>
                <w:webHidden/>
              </w:rPr>
              <w:fldChar w:fldCharType="separate"/>
            </w:r>
            <w:r>
              <w:rPr>
                <w:noProof/>
                <w:webHidden/>
              </w:rPr>
              <w:t>30</w:t>
            </w:r>
            <w:r>
              <w:rPr>
                <w:noProof/>
                <w:webHidden/>
              </w:rPr>
              <w:fldChar w:fldCharType="end"/>
            </w:r>
          </w:hyperlink>
        </w:p>
        <w:p w14:paraId="01F83933" w14:textId="43AA3267" w:rsidR="00942212" w:rsidRDefault="00942212">
          <w:pPr>
            <w:pStyle w:val="TM3"/>
            <w:tabs>
              <w:tab w:val="left" w:pos="1100"/>
              <w:tab w:val="right" w:leader="dot" w:pos="9016"/>
            </w:tabs>
            <w:rPr>
              <w:rFonts w:asciiTheme="minorHAnsi" w:hAnsiTheme="minorHAnsi"/>
              <w:noProof/>
              <w:kern w:val="2"/>
              <w:sz w:val="22"/>
              <w:szCs w:val="22"/>
              <w:lang w:val="fr-CI" w:eastAsia="fr-CI"/>
              <w14:ligatures w14:val="standardContextual"/>
            </w:rPr>
          </w:pPr>
          <w:hyperlink w:anchor="_Toc213326903" w:history="1">
            <w:r w:rsidRPr="00AF6DA8">
              <w:rPr>
                <w:rStyle w:val="Lienhypertexte"/>
                <w:noProof/>
              </w:rPr>
              <w:t>II.2</w:t>
            </w:r>
            <w:r>
              <w:rPr>
                <w:rFonts w:asciiTheme="minorHAnsi" w:hAnsiTheme="minorHAnsi"/>
                <w:noProof/>
                <w:kern w:val="2"/>
                <w:sz w:val="22"/>
                <w:szCs w:val="22"/>
                <w:lang w:val="fr-CI" w:eastAsia="fr-CI"/>
                <w14:ligatures w14:val="standardContextual"/>
              </w:rPr>
              <w:tab/>
            </w:r>
            <w:r w:rsidRPr="00AF6DA8">
              <w:rPr>
                <w:rStyle w:val="Lienhypertexte"/>
                <w:noProof/>
              </w:rPr>
              <w:t>Evaluation de la menace liée au secteur des Titres et valeurs mobilières</w:t>
            </w:r>
            <w:r>
              <w:rPr>
                <w:noProof/>
                <w:webHidden/>
              </w:rPr>
              <w:tab/>
            </w:r>
            <w:r>
              <w:rPr>
                <w:noProof/>
                <w:webHidden/>
              </w:rPr>
              <w:fldChar w:fldCharType="begin"/>
            </w:r>
            <w:r>
              <w:rPr>
                <w:noProof/>
                <w:webHidden/>
              </w:rPr>
              <w:instrText xml:space="preserve"> PAGEREF _Toc213326903 \h </w:instrText>
            </w:r>
            <w:r>
              <w:rPr>
                <w:noProof/>
                <w:webHidden/>
              </w:rPr>
            </w:r>
            <w:r>
              <w:rPr>
                <w:noProof/>
                <w:webHidden/>
              </w:rPr>
              <w:fldChar w:fldCharType="separate"/>
            </w:r>
            <w:r>
              <w:rPr>
                <w:noProof/>
                <w:webHidden/>
              </w:rPr>
              <w:t>32</w:t>
            </w:r>
            <w:r>
              <w:rPr>
                <w:noProof/>
                <w:webHidden/>
              </w:rPr>
              <w:fldChar w:fldCharType="end"/>
            </w:r>
          </w:hyperlink>
        </w:p>
        <w:p w14:paraId="2AB70703" w14:textId="106028B1" w:rsidR="00942212" w:rsidRDefault="00942212">
          <w:pPr>
            <w:pStyle w:val="TM3"/>
            <w:tabs>
              <w:tab w:val="left" w:pos="1100"/>
              <w:tab w:val="right" w:leader="dot" w:pos="9016"/>
            </w:tabs>
            <w:rPr>
              <w:rFonts w:asciiTheme="minorHAnsi" w:hAnsiTheme="minorHAnsi"/>
              <w:noProof/>
              <w:kern w:val="2"/>
              <w:sz w:val="22"/>
              <w:szCs w:val="22"/>
              <w:lang w:val="fr-CI" w:eastAsia="fr-CI"/>
              <w14:ligatures w14:val="standardContextual"/>
            </w:rPr>
          </w:pPr>
          <w:hyperlink w:anchor="_Toc213326904" w:history="1">
            <w:r w:rsidRPr="00AF6DA8">
              <w:rPr>
                <w:rStyle w:val="Lienhypertexte"/>
                <w:noProof/>
              </w:rPr>
              <w:t>II.3</w:t>
            </w:r>
            <w:r>
              <w:rPr>
                <w:rFonts w:asciiTheme="minorHAnsi" w:hAnsiTheme="minorHAnsi"/>
                <w:noProof/>
                <w:kern w:val="2"/>
                <w:sz w:val="22"/>
                <w:szCs w:val="22"/>
                <w:lang w:val="fr-CI" w:eastAsia="fr-CI"/>
                <w14:ligatures w14:val="standardContextual"/>
              </w:rPr>
              <w:tab/>
            </w:r>
            <w:r w:rsidRPr="00AF6DA8">
              <w:rPr>
                <w:rStyle w:val="Lienhypertexte"/>
                <w:noProof/>
              </w:rPr>
              <w:t>Evaluation de la menace liée au secteur des assurances</w:t>
            </w:r>
            <w:r>
              <w:rPr>
                <w:noProof/>
                <w:webHidden/>
              </w:rPr>
              <w:tab/>
            </w:r>
            <w:r>
              <w:rPr>
                <w:noProof/>
                <w:webHidden/>
              </w:rPr>
              <w:fldChar w:fldCharType="begin"/>
            </w:r>
            <w:r>
              <w:rPr>
                <w:noProof/>
                <w:webHidden/>
              </w:rPr>
              <w:instrText xml:space="preserve"> PAGEREF _Toc213326904 \h </w:instrText>
            </w:r>
            <w:r>
              <w:rPr>
                <w:noProof/>
                <w:webHidden/>
              </w:rPr>
            </w:r>
            <w:r>
              <w:rPr>
                <w:noProof/>
                <w:webHidden/>
              </w:rPr>
              <w:fldChar w:fldCharType="separate"/>
            </w:r>
            <w:r>
              <w:rPr>
                <w:noProof/>
                <w:webHidden/>
              </w:rPr>
              <w:t>33</w:t>
            </w:r>
            <w:r>
              <w:rPr>
                <w:noProof/>
                <w:webHidden/>
              </w:rPr>
              <w:fldChar w:fldCharType="end"/>
            </w:r>
          </w:hyperlink>
        </w:p>
        <w:p w14:paraId="4A94BB62" w14:textId="70C5AE84" w:rsidR="00942212" w:rsidRDefault="00942212">
          <w:pPr>
            <w:pStyle w:val="TM3"/>
            <w:tabs>
              <w:tab w:val="left" w:pos="1100"/>
              <w:tab w:val="right" w:leader="dot" w:pos="9016"/>
            </w:tabs>
            <w:rPr>
              <w:rFonts w:asciiTheme="minorHAnsi" w:hAnsiTheme="minorHAnsi"/>
              <w:noProof/>
              <w:kern w:val="2"/>
              <w:sz w:val="22"/>
              <w:szCs w:val="22"/>
              <w:lang w:val="fr-CI" w:eastAsia="fr-CI"/>
              <w14:ligatures w14:val="standardContextual"/>
            </w:rPr>
          </w:pPr>
          <w:hyperlink w:anchor="_Toc213326905" w:history="1">
            <w:r w:rsidRPr="00AF6DA8">
              <w:rPr>
                <w:rStyle w:val="Lienhypertexte"/>
                <w:noProof/>
              </w:rPr>
              <w:t>II.4</w:t>
            </w:r>
            <w:r>
              <w:rPr>
                <w:rFonts w:asciiTheme="minorHAnsi" w:hAnsiTheme="minorHAnsi"/>
                <w:noProof/>
                <w:kern w:val="2"/>
                <w:sz w:val="22"/>
                <w:szCs w:val="22"/>
                <w:lang w:val="fr-CI" w:eastAsia="fr-CI"/>
                <w14:ligatures w14:val="standardContextual"/>
              </w:rPr>
              <w:tab/>
            </w:r>
            <w:r w:rsidRPr="00AF6DA8">
              <w:rPr>
                <w:rStyle w:val="Lienhypertexte"/>
                <w:noProof/>
              </w:rPr>
              <w:t>Evaluation de la menace liée aux Autres Institutions Financières (AIF)</w:t>
            </w:r>
            <w:r>
              <w:rPr>
                <w:noProof/>
                <w:webHidden/>
              </w:rPr>
              <w:tab/>
            </w:r>
            <w:r>
              <w:rPr>
                <w:noProof/>
                <w:webHidden/>
              </w:rPr>
              <w:fldChar w:fldCharType="begin"/>
            </w:r>
            <w:r>
              <w:rPr>
                <w:noProof/>
                <w:webHidden/>
              </w:rPr>
              <w:instrText xml:space="preserve"> PAGEREF _Toc213326905 \h </w:instrText>
            </w:r>
            <w:r>
              <w:rPr>
                <w:noProof/>
                <w:webHidden/>
              </w:rPr>
            </w:r>
            <w:r>
              <w:rPr>
                <w:noProof/>
                <w:webHidden/>
              </w:rPr>
              <w:fldChar w:fldCharType="separate"/>
            </w:r>
            <w:r>
              <w:rPr>
                <w:noProof/>
                <w:webHidden/>
              </w:rPr>
              <w:t>35</w:t>
            </w:r>
            <w:r>
              <w:rPr>
                <w:noProof/>
                <w:webHidden/>
              </w:rPr>
              <w:fldChar w:fldCharType="end"/>
            </w:r>
          </w:hyperlink>
        </w:p>
        <w:p w14:paraId="46E57F69" w14:textId="1BB0FFEA" w:rsidR="00942212" w:rsidRDefault="00942212">
          <w:pPr>
            <w:pStyle w:val="TM3"/>
            <w:tabs>
              <w:tab w:val="left" w:pos="1100"/>
              <w:tab w:val="right" w:leader="dot" w:pos="9016"/>
            </w:tabs>
            <w:rPr>
              <w:rFonts w:asciiTheme="minorHAnsi" w:hAnsiTheme="minorHAnsi"/>
              <w:noProof/>
              <w:kern w:val="2"/>
              <w:sz w:val="22"/>
              <w:szCs w:val="22"/>
              <w:lang w:val="fr-CI" w:eastAsia="fr-CI"/>
              <w14:ligatures w14:val="standardContextual"/>
            </w:rPr>
          </w:pPr>
          <w:hyperlink w:anchor="_Toc213326906" w:history="1">
            <w:r w:rsidRPr="00AF6DA8">
              <w:rPr>
                <w:rStyle w:val="Lienhypertexte"/>
                <w:noProof/>
              </w:rPr>
              <w:t>II.5</w:t>
            </w:r>
            <w:r>
              <w:rPr>
                <w:rFonts w:asciiTheme="minorHAnsi" w:hAnsiTheme="minorHAnsi"/>
                <w:noProof/>
                <w:kern w:val="2"/>
                <w:sz w:val="22"/>
                <w:szCs w:val="22"/>
                <w:lang w:val="fr-CI" w:eastAsia="fr-CI"/>
                <w14:ligatures w14:val="standardContextual"/>
              </w:rPr>
              <w:tab/>
            </w:r>
            <w:r w:rsidRPr="00AF6DA8">
              <w:rPr>
                <w:rStyle w:val="Lienhypertexte"/>
                <w:noProof/>
              </w:rPr>
              <w:t>Evaluation de la menace liée au secteur des agents et promoteurs immobiliers</w:t>
            </w:r>
            <w:r>
              <w:rPr>
                <w:noProof/>
                <w:webHidden/>
              </w:rPr>
              <w:tab/>
            </w:r>
            <w:r>
              <w:rPr>
                <w:noProof/>
                <w:webHidden/>
              </w:rPr>
              <w:fldChar w:fldCharType="begin"/>
            </w:r>
            <w:r>
              <w:rPr>
                <w:noProof/>
                <w:webHidden/>
              </w:rPr>
              <w:instrText xml:space="preserve"> PAGEREF _Toc213326906 \h </w:instrText>
            </w:r>
            <w:r>
              <w:rPr>
                <w:noProof/>
                <w:webHidden/>
              </w:rPr>
            </w:r>
            <w:r>
              <w:rPr>
                <w:noProof/>
                <w:webHidden/>
              </w:rPr>
              <w:fldChar w:fldCharType="separate"/>
            </w:r>
            <w:r>
              <w:rPr>
                <w:noProof/>
                <w:webHidden/>
              </w:rPr>
              <w:t>36</w:t>
            </w:r>
            <w:r>
              <w:rPr>
                <w:noProof/>
                <w:webHidden/>
              </w:rPr>
              <w:fldChar w:fldCharType="end"/>
            </w:r>
          </w:hyperlink>
        </w:p>
        <w:p w14:paraId="6D55ACB1" w14:textId="1CB8308D" w:rsidR="00942212" w:rsidRDefault="00942212">
          <w:pPr>
            <w:pStyle w:val="TM3"/>
            <w:tabs>
              <w:tab w:val="left" w:pos="1100"/>
              <w:tab w:val="right" w:leader="dot" w:pos="9016"/>
            </w:tabs>
            <w:rPr>
              <w:rFonts w:asciiTheme="minorHAnsi" w:hAnsiTheme="minorHAnsi"/>
              <w:noProof/>
              <w:kern w:val="2"/>
              <w:sz w:val="22"/>
              <w:szCs w:val="22"/>
              <w:lang w:val="fr-CI" w:eastAsia="fr-CI"/>
              <w14:ligatures w14:val="standardContextual"/>
            </w:rPr>
          </w:pPr>
          <w:hyperlink w:anchor="_Toc213326907" w:history="1">
            <w:r w:rsidRPr="00AF6DA8">
              <w:rPr>
                <w:rStyle w:val="Lienhypertexte"/>
                <w:noProof/>
              </w:rPr>
              <w:t>II.6</w:t>
            </w:r>
            <w:r>
              <w:rPr>
                <w:rFonts w:asciiTheme="minorHAnsi" w:hAnsiTheme="minorHAnsi"/>
                <w:noProof/>
                <w:kern w:val="2"/>
                <w:sz w:val="22"/>
                <w:szCs w:val="22"/>
                <w:lang w:val="fr-CI" w:eastAsia="fr-CI"/>
                <w14:ligatures w14:val="standardContextual"/>
              </w:rPr>
              <w:tab/>
            </w:r>
            <w:r w:rsidRPr="00AF6DA8">
              <w:rPr>
                <w:rStyle w:val="Lienhypertexte"/>
                <w:noProof/>
              </w:rPr>
              <w:t>Evaluation de la menace liée au secteur des Experts comptables</w:t>
            </w:r>
            <w:r>
              <w:rPr>
                <w:noProof/>
                <w:webHidden/>
              </w:rPr>
              <w:tab/>
            </w:r>
            <w:r>
              <w:rPr>
                <w:noProof/>
                <w:webHidden/>
              </w:rPr>
              <w:fldChar w:fldCharType="begin"/>
            </w:r>
            <w:r>
              <w:rPr>
                <w:noProof/>
                <w:webHidden/>
              </w:rPr>
              <w:instrText xml:space="preserve"> PAGEREF _Toc213326907 \h </w:instrText>
            </w:r>
            <w:r>
              <w:rPr>
                <w:noProof/>
                <w:webHidden/>
              </w:rPr>
            </w:r>
            <w:r>
              <w:rPr>
                <w:noProof/>
                <w:webHidden/>
              </w:rPr>
              <w:fldChar w:fldCharType="separate"/>
            </w:r>
            <w:r>
              <w:rPr>
                <w:noProof/>
                <w:webHidden/>
              </w:rPr>
              <w:t>38</w:t>
            </w:r>
            <w:r>
              <w:rPr>
                <w:noProof/>
                <w:webHidden/>
              </w:rPr>
              <w:fldChar w:fldCharType="end"/>
            </w:r>
          </w:hyperlink>
        </w:p>
        <w:p w14:paraId="0ACF026F" w14:textId="54DA6B5F" w:rsidR="00942212" w:rsidRDefault="00942212">
          <w:pPr>
            <w:pStyle w:val="TM3"/>
            <w:tabs>
              <w:tab w:val="left" w:pos="1100"/>
              <w:tab w:val="right" w:leader="dot" w:pos="9016"/>
            </w:tabs>
            <w:rPr>
              <w:rFonts w:asciiTheme="minorHAnsi" w:hAnsiTheme="minorHAnsi"/>
              <w:noProof/>
              <w:kern w:val="2"/>
              <w:sz w:val="22"/>
              <w:szCs w:val="22"/>
              <w:lang w:val="fr-CI" w:eastAsia="fr-CI"/>
              <w14:ligatures w14:val="standardContextual"/>
            </w:rPr>
          </w:pPr>
          <w:hyperlink w:anchor="_Toc213326908" w:history="1">
            <w:r w:rsidRPr="00AF6DA8">
              <w:rPr>
                <w:rStyle w:val="Lienhypertexte"/>
                <w:noProof/>
              </w:rPr>
              <w:t>II.7</w:t>
            </w:r>
            <w:r>
              <w:rPr>
                <w:rFonts w:asciiTheme="minorHAnsi" w:hAnsiTheme="minorHAnsi"/>
                <w:noProof/>
                <w:kern w:val="2"/>
                <w:sz w:val="22"/>
                <w:szCs w:val="22"/>
                <w:lang w:val="fr-CI" w:eastAsia="fr-CI"/>
                <w14:ligatures w14:val="standardContextual"/>
              </w:rPr>
              <w:tab/>
            </w:r>
            <w:r w:rsidRPr="00AF6DA8">
              <w:rPr>
                <w:rStyle w:val="Lienhypertexte"/>
                <w:noProof/>
              </w:rPr>
              <w:t>Evaluation de la menace liée au secteur des Notaires</w:t>
            </w:r>
            <w:r>
              <w:rPr>
                <w:noProof/>
                <w:webHidden/>
              </w:rPr>
              <w:tab/>
            </w:r>
            <w:r>
              <w:rPr>
                <w:noProof/>
                <w:webHidden/>
              </w:rPr>
              <w:fldChar w:fldCharType="begin"/>
            </w:r>
            <w:r>
              <w:rPr>
                <w:noProof/>
                <w:webHidden/>
              </w:rPr>
              <w:instrText xml:space="preserve"> PAGEREF _Toc213326908 \h </w:instrText>
            </w:r>
            <w:r>
              <w:rPr>
                <w:noProof/>
                <w:webHidden/>
              </w:rPr>
            </w:r>
            <w:r>
              <w:rPr>
                <w:noProof/>
                <w:webHidden/>
              </w:rPr>
              <w:fldChar w:fldCharType="separate"/>
            </w:r>
            <w:r>
              <w:rPr>
                <w:noProof/>
                <w:webHidden/>
              </w:rPr>
              <w:t>39</w:t>
            </w:r>
            <w:r>
              <w:rPr>
                <w:noProof/>
                <w:webHidden/>
              </w:rPr>
              <w:fldChar w:fldCharType="end"/>
            </w:r>
          </w:hyperlink>
        </w:p>
        <w:p w14:paraId="429D00D1" w14:textId="4DE06845" w:rsidR="00942212" w:rsidRDefault="00942212">
          <w:pPr>
            <w:pStyle w:val="TM2"/>
            <w:tabs>
              <w:tab w:val="left" w:pos="880"/>
              <w:tab w:val="right" w:leader="dot" w:pos="9016"/>
            </w:tabs>
            <w:rPr>
              <w:rFonts w:asciiTheme="minorHAnsi" w:hAnsiTheme="minorHAnsi"/>
              <w:noProof/>
              <w:kern w:val="2"/>
              <w:sz w:val="22"/>
              <w:szCs w:val="22"/>
              <w:lang w:val="fr-CI" w:eastAsia="fr-CI"/>
              <w14:ligatures w14:val="standardContextual"/>
            </w:rPr>
          </w:pPr>
          <w:hyperlink w:anchor="_Toc213326909" w:history="1">
            <w:r w:rsidRPr="00AF6DA8">
              <w:rPr>
                <w:rStyle w:val="Lienhypertexte"/>
                <w:noProof/>
              </w:rPr>
              <w:t>III-</w:t>
            </w:r>
            <w:r>
              <w:rPr>
                <w:rFonts w:asciiTheme="minorHAnsi" w:hAnsiTheme="minorHAnsi"/>
                <w:noProof/>
                <w:kern w:val="2"/>
                <w:sz w:val="22"/>
                <w:szCs w:val="22"/>
                <w:lang w:val="fr-CI" w:eastAsia="fr-CI"/>
                <w14:ligatures w14:val="standardContextual"/>
              </w:rPr>
              <w:tab/>
            </w:r>
            <w:r w:rsidRPr="00AF6DA8">
              <w:rPr>
                <w:rStyle w:val="Lienhypertexte"/>
                <w:noProof/>
              </w:rPr>
              <w:t>LA MENACE DE BC A TRAVERS L’UTILISATION DES PERSONNES MORALES (PM)</w:t>
            </w:r>
            <w:r>
              <w:rPr>
                <w:noProof/>
                <w:webHidden/>
              </w:rPr>
              <w:tab/>
            </w:r>
            <w:r>
              <w:rPr>
                <w:noProof/>
                <w:webHidden/>
              </w:rPr>
              <w:fldChar w:fldCharType="begin"/>
            </w:r>
            <w:r>
              <w:rPr>
                <w:noProof/>
                <w:webHidden/>
              </w:rPr>
              <w:instrText xml:space="preserve"> PAGEREF _Toc213326909 \h </w:instrText>
            </w:r>
            <w:r>
              <w:rPr>
                <w:noProof/>
                <w:webHidden/>
              </w:rPr>
            </w:r>
            <w:r>
              <w:rPr>
                <w:noProof/>
                <w:webHidden/>
              </w:rPr>
              <w:fldChar w:fldCharType="separate"/>
            </w:r>
            <w:r>
              <w:rPr>
                <w:noProof/>
                <w:webHidden/>
              </w:rPr>
              <w:t>41</w:t>
            </w:r>
            <w:r>
              <w:rPr>
                <w:noProof/>
                <w:webHidden/>
              </w:rPr>
              <w:fldChar w:fldCharType="end"/>
            </w:r>
          </w:hyperlink>
        </w:p>
        <w:p w14:paraId="1C351703" w14:textId="3819AA94" w:rsidR="00942212" w:rsidRDefault="00942212">
          <w:pPr>
            <w:pStyle w:val="TM1"/>
            <w:tabs>
              <w:tab w:val="right" w:leader="dot" w:pos="9016"/>
            </w:tabs>
            <w:rPr>
              <w:rFonts w:asciiTheme="minorHAnsi" w:hAnsiTheme="minorHAnsi"/>
              <w:noProof/>
              <w:kern w:val="2"/>
              <w:sz w:val="22"/>
              <w:szCs w:val="22"/>
              <w:lang w:val="fr-CI" w:eastAsia="fr-CI"/>
              <w14:ligatures w14:val="standardContextual"/>
            </w:rPr>
          </w:pPr>
          <w:hyperlink w:anchor="_Toc213326910" w:history="1">
            <w:r w:rsidRPr="00AF6DA8">
              <w:rPr>
                <w:rStyle w:val="Lienhypertexte"/>
                <w:noProof/>
              </w:rPr>
              <w:t>Conclusion</w:t>
            </w:r>
            <w:r>
              <w:rPr>
                <w:noProof/>
                <w:webHidden/>
              </w:rPr>
              <w:tab/>
            </w:r>
            <w:r>
              <w:rPr>
                <w:noProof/>
                <w:webHidden/>
              </w:rPr>
              <w:fldChar w:fldCharType="begin"/>
            </w:r>
            <w:r>
              <w:rPr>
                <w:noProof/>
                <w:webHidden/>
              </w:rPr>
              <w:instrText xml:space="preserve"> PAGEREF _Toc213326910 \h </w:instrText>
            </w:r>
            <w:r>
              <w:rPr>
                <w:noProof/>
                <w:webHidden/>
              </w:rPr>
            </w:r>
            <w:r>
              <w:rPr>
                <w:noProof/>
                <w:webHidden/>
              </w:rPr>
              <w:fldChar w:fldCharType="separate"/>
            </w:r>
            <w:r>
              <w:rPr>
                <w:noProof/>
                <w:webHidden/>
              </w:rPr>
              <w:t>45</w:t>
            </w:r>
            <w:r>
              <w:rPr>
                <w:noProof/>
                <w:webHidden/>
              </w:rPr>
              <w:fldChar w:fldCharType="end"/>
            </w:r>
          </w:hyperlink>
        </w:p>
        <w:p w14:paraId="27C8E6DF" w14:textId="3BC093B3" w:rsidR="002E22F1" w:rsidRPr="008F704B" w:rsidRDefault="002E22F1" w:rsidP="00DD206B">
          <w:pPr>
            <w:spacing w:line="360" w:lineRule="auto"/>
            <w:jc w:val="both"/>
            <w:rPr>
              <w:rFonts w:cs="Times New Roman"/>
              <w:sz w:val="22"/>
              <w:szCs w:val="22"/>
            </w:rPr>
          </w:pPr>
          <w:r w:rsidRPr="008F704B">
            <w:rPr>
              <w:rFonts w:cs="Times New Roman"/>
              <w:b/>
              <w:bCs/>
              <w:sz w:val="22"/>
              <w:szCs w:val="22"/>
            </w:rPr>
            <w:fldChar w:fldCharType="end"/>
          </w:r>
        </w:p>
      </w:sdtContent>
    </w:sdt>
    <w:p w14:paraId="0A17EFD1" w14:textId="4FA07736" w:rsidR="002E19C8" w:rsidRPr="008F704B" w:rsidRDefault="002E19C8" w:rsidP="00DD206B">
      <w:pPr>
        <w:spacing w:line="360" w:lineRule="auto"/>
        <w:jc w:val="both"/>
        <w:rPr>
          <w:rFonts w:cs="Times New Roman"/>
          <w:b/>
          <w:bCs/>
          <w:sz w:val="22"/>
          <w:szCs w:val="22"/>
        </w:rPr>
        <w:sectPr w:rsidR="002E19C8" w:rsidRPr="008F704B" w:rsidSect="004838E6">
          <w:type w:val="continuous"/>
          <w:pgSz w:w="11906" w:h="16838" w:code="9"/>
          <w:pgMar w:top="1440" w:right="1440" w:bottom="1134" w:left="1440" w:header="708" w:footer="708" w:gutter="0"/>
          <w:cols w:space="708"/>
          <w:docGrid w:linePitch="360"/>
        </w:sectPr>
      </w:pPr>
    </w:p>
    <w:p w14:paraId="4743F0B9" w14:textId="77777777" w:rsidR="002E22F1" w:rsidRPr="008F704B" w:rsidRDefault="002E22F1" w:rsidP="00DD206B">
      <w:pPr>
        <w:pStyle w:val="Titre1"/>
        <w:rPr>
          <w:sz w:val="22"/>
        </w:rPr>
        <w:sectPr w:rsidR="002E22F1" w:rsidRPr="008F704B" w:rsidSect="004838E6">
          <w:type w:val="continuous"/>
          <w:pgSz w:w="11906" w:h="16838" w:code="9"/>
          <w:pgMar w:top="1440" w:right="1440" w:bottom="1134" w:left="1440" w:header="708" w:footer="708" w:gutter="0"/>
          <w:cols w:space="708"/>
          <w:docGrid w:linePitch="360"/>
        </w:sectPr>
      </w:pPr>
    </w:p>
    <w:p w14:paraId="3ED8AFB5" w14:textId="7014CA9F" w:rsidR="008E306E" w:rsidRPr="008F704B" w:rsidRDefault="00CC354D" w:rsidP="00DD206B">
      <w:pPr>
        <w:pStyle w:val="Titre1"/>
        <w:rPr>
          <w:sz w:val="22"/>
        </w:rPr>
      </w:pPr>
      <w:bookmarkStart w:id="0" w:name="_Toc213326894"/>
      <w:r w:rsidRPr="008F704B">
        <w:rPr>
          <w:sz w:val="22"/>
        </w:rPr>
        <w:lastRenderedPageBreak/>
        <w:t>Introduction</w:t>
      </w:r>
      <w:bookmarkEnd w:id="0"/>
    </w:p>
    <w:p w14:paraId="4FC1AB70" w14:textId="0A3B0F7A" w:rsidR="008B6333" w:rsidRPr="008F704B" w:rsidRDefault="008B6333" w:rsidP="00DD206B">
      <w:pPr>
        <w:spacing w:line="360" w:lineRule="auto"/>
        <w:jc w:val="both"/>
        <w:rPr>
          <w:rFonts w:cs="Times New Roman"/>
          <w:sz w:val="22"/>
          <w:szCs w:val="22"/>
        </w:rPr>
      </w:pPr>
      <w:r w:rsidRPr="008F704B">
        <w:rPr>
          <w:rFonts w:cs="Times New Roman"/>
          <w:sz w:val="22"/>
          <w:szCs w:val="22"/>
        </w:rPr>
        <w:t>De décembre 2018 à décembre 2019, la Côte d’Ivoire a réalisé so</w:t>
      </w:r>
      <w:r w:rsidR="005C6CD8">
        <w:rPr>
          <w:rFonts w:cs="Times New Roman"/>
          <w:sz w:val="22"/>
          <w:szCs w:val="22"/>
        </w:rPr>
        <w:t>n</w:t>
      </w:r>
      <w:r w:rsidRPr="008F704B">
        <w:rPr>
          <w:rFonts w:cs="Times New Roman"/>
          <w:sz w:val="22"/>
          <w:szCs w:val="22"/>
        </w:rPr>
        <w:t xml:space="preserve"> Evaluation Nationale des Risques (ENR) en matière de Lutte contre le Blanchiment de Capitaux, le Financement du Terrorisme et de la Prolifération des Armes de Destruction Massive (LBC/FT-FP). </w:t>
      </w:r>
      <w:r w:rsidR="005F626A" w:rsidRPr="008F704B">
        <w:rPr>
          <w:rFonts w:cs="Times New Roman"/>
          <w:sz w:val="22"/>
          <w:szCs w:val="22"/>
        </w:rPr>
        <w:t xml:space="preserve">En </w:t>
      </w:r>
      <w:r w:rsidR="005C6CD8">
        <w:rPr>
          <w:rFonts w:cs="Times New Roman"/>
          <w:sz w:val="22"/>
          <w:szCs w:val="22"/>
        </w:rPr>
        <w:t xml:space="preserve">ce qui concerne </w:t>
      </w:r>
      <w:r w:rsidR="005F626A" w:rsidRPr="008F704B">
        <w:rPr>
          <w:rFonts w:cs="Times New Roman"/>
          <w:sz w:val="22"/>
          <w:szCs w:val="22"/>
        </w:rPr>
        <w:t>la menace du blanchiment de capitaux, l</w:t>
      </w:r>
      <w:r w:rsidRPr="008F704B">
        <w:rPr>
          <w:rFonts w:cs="Times New Roman"/>
          <w:sz w:val="22"/>
          <w:szCs w:val="22"/>
        </w:rPr>
        <w:t xml:space="preserve">’analyse a conclu que les principales menaces intérieures </w:t>
      </w:r>
      <w:r w:rsidR="00EC33C9" w:rsidRPr="008F704B">
        <w:rPr>
          <w:rFonts w:cs="Times New Roman"/>
          <w:sz w:val="22"/>
          <w:szCs w:val="22"/>
        </w:rPr>
        <w:t>étaient</w:t>
      </w:r>
      <w:r w:rsidRPr="008F704B">
        <w:rPr>
          <w:rFonts w:cs="Times New Roman"/>
          <w:sz w:val="22"/>
          <w:szCs w:val="22"/>
        </w:rPr>
        <w:t xml:space="preserve"> la corruption et la concussion, le trafic illicite de stupéfiants et de substances psychotropes, les infractions fiscales, les infractions contre l’environnement et la cybercriminalité.</w:t>
      </w:r>
      <w:r w:rsidR="00404F23" w:rsidRPr="008F704B">
        <w:rPr>
          <w:rFonts w:cs="Times New Roman"/>
          <w:sz w:val="22"/>
          <w:szCs w:val="22"/>
        </w:rPr>
        <w:t xml:space="preserve"> </w:t>
      </w:r>
      <w:r w:rsidRPr="008F704B">
        <w:rPr>
          <w:rFonts w:cs="Times New Roman"/>
          <w:sz w:val="22"/>
          <w:szCs w:val="22"/>
        </w:rPr>
        <w:t xml:space="preserve">Concernant les menaces extérieures, la plus importante observée </w:t>
      </w:r>
      <w:r w:rsidR="005F626A" w:rsidRPr="008F704B">
        <w:rPr>
          <w:rFonts w:cs="Times New Roman"/>
          <w:sz w:val="22"/>
          <w:szCs w:val="22"/>
        </w:rPr>
        <w:t xml:space="preserve">était </w:t>
      </w:r>
      <w:r w:rsidRPr="008F704B">
        <w:rPr>
          <w:rFonts w:cs="Times New Roman"/>
          <w:sz w:val="22"/>
          <w:szCs w:val="22"/>
        </w:rPr>
        <w:t>le vol suivi de l’escroquerie et de l’abus de confiance.</w:t>
      </w:r>
    </w:p>
    <w:p w14:paraId="4DE675CC" w14:textId="648D3DD8" w:rsidR="00471363" w:rsidRPr="008F704B" w:rsidRDefault="008B6333" w:rsidP="00DD206B">
      <w:pPr>
        <w:spacing w:line="360" w:lineRule="auto"/>
        <w:jc w:val="both"/>
        <w:rPr>
          <w:rFonts w:cs="Times New Roman"/>
          <w:sz w:val="22"/>
          <w:szCs w:val="22"/>
        </w:rPr>
      </w:pPr>
      <w:r w:rsidRPr="008F704B">
        <w:rPr>
          <w:rFonts w:cs="Times New Roman"/>
          <w:sz w:val="22"/>
          <w:szCs w:val="22"/>
        </w:rPr>
        <w:t xml:space="preserve">L’étude a </w:t>
      </w:r>
      <w:r w:rsidR="000018A0">
        <w:rPr>
          <w:rFonts w:cs="Times New Roman"/>
          <w:sz w:val="22"/>
          <w:szCs w:val="22"/>
        </w:rPr>
        <w:t>également</w:t>
      </w:r>
      <w:r w:rsidRPr="008F704B">
        <w:rPr>
          <w:rFonts w:cs="Times New Roman"/>
          <w:sz w:val="22"/>
          <w:szCs w:val="22"/>
        </w:rPr>
        <w:t xml:space="preserve"> mis en exergue le niveau de menace par secteur</w:t>
      </w:r>
      <w:r w:rsidR="00FF3FD6">
        <w:rPr>
          <w:rFonts w:cs="Times New Roman"/>
          <w:sz w:val="22"/>
          <w:szCs w:val="22"/>
        </w:rPr>
        <w:t xml:space="preserve"> assujettis</w:t>
      </w:r>
      <w:r w:rsidRPr="008F704B">
        <w:rPr>
          <w:rFonts w:cs="Times New Roman"/>
          <w:sz w:val="22"/>
          <w:szCs w:val="22"/>
        </w:rPr>
        <w:t xml:space="preserve">. Ainsi, </w:t>
      </w:r>
      <w:r w:rsidR="00471363" w:rsidRPr="008F704B">
        <w:rPr>
          <w:rFonts w:cs="Times New Roman"/>
          <w:sz w:val="22"/>
          <w:szCs w:val="22"/>
        </w:rPr>
        <w:t>selon cette étude, le secteur immobilier et le secteur dit des « Autres Institutions Financières » (AIF)</w:t>
      </w:r>
      <w:r w:rsidR="000018A0">
        <w:rPr>
          <w:rStyle w:val="Appelnotedebasdep"/>
          <w:rFonts w:cs="Times New Roman"/>
          <w:sz w:val="22"/>
          <w:szCs w:val="22"/>
        </w:rPr>
        <w:footnoteReference w:id="1"/>
      </w:r>
      <w:r w:rsidR="00471363" w:rsidRPr="008F704B">
        <w:rPr>
          <w:rFonts w:cs="Times New Roman"/>
          <w:sz w:val="22"/>
          <w:szCs w:val="22"/>
        </w:rPr>
        <w:t>privées ont été identifiés comme étant les secteurs les plus exposés à la menace de Blanchiment de Capitaux (BC).</w:t>
      </w:r>
    </w:p>
    <w:p w14:paraId="08BB1B2D" w14:textId="0FA15DA4" w:rsidR="008B6333" w:rsidRPr="008F704B" w:rsidRDefault="00FF3FD6" w:rsidP="00DD206B">
      <w:pPr>
        <w:spacing w:line="360" w:lineRule="auto"/>
        <w:jc w:val="both"/>
        <w:rPr>
          <w:rFonts w:cs="Times New Roman"/>
          <w:sz w:val="22"/>
          <w:szCs w:val="22"/>
        </w:rPr>
      </w:pPr>
      <w:r>
        <w:rPr>
          <w:rFonts w:cs="Times New Roman"/>
          <w:sz w:val="22"/>
          <w:szCs w:val="22"/>
        </w:rPr>
        <w:t xml:space="preserve">Suite </w:t>
      </w:r>
      <w:r w:rsidR="000018A0">
        <w:rPr>
          <w:rFonts w:cs="Times New Roman"/>
          <w:sz w:val="22"/>
          <w:szCs w:val="22"/>
        </w:rPr>
        <w:t>à</w:t>
      </w:r>
      <w:r w:rsidR="008B6333" w:rsidRPr="008F704B">
        <w:rPr>
          <w:rFonts w:cs="Times New Roman"/>
          <w:sz w:val="22"/>
          <w:szCs w:val="22"/>
        </w:rPr>
        <w:t xml:space="preserve"> l’ENR</w:t>
      </w:r>
      <w:r w:rsidR="005F626A" w:rsidRPr="008F704B">
        <w:rPr>
          <w:rFonts w:cs="Times New Roman"/>
          <w:sz w:val="22"/>
          <w:szCs w:val="22"/>
        </w:rPr>
        <w:t xml:space="preserve"> qui comprenait aussi l’évaluation des mesures d’atténuation</w:t>
      </w:r>
      <w:r w:rsidR="008B6333" w:rsidRPr="008F704B">
        <w:rPr>
          <w:rFonts w:cs="Times New Roman"/>
          <w:sz w:val="22"/>
          <w:szCs w:val="22"/>
        </w:rPr>
        <w:t xml:space="preserve">, la Côte d’Ivoire a élaboré une </w:t>
      </w:r>
      <w:r w:rsidR="000018A0">
        <w:rPr>
          <w:rFonts w:cs="Times New Roman"/>
          <w:sz w:val="22"/>
          <w:szCs w:val="22"/>
        </w:rPr>
        <w:t>S</w:t>
      </w:r>
      <w:r w:rsidR="008B6333" w:rsidRPr="008F704B">
        <w:rPr>
          <w:rFonts w:cs="Times New Roman"/>
          <w:sz w:val="22"/>
          <w:szCs w:val="22"/>
        </w:rPr>
        <w:t xml:space="preserve">tratégie </w:t>
      </w:r>
      <w:r w:rsidR="000018A0">
        <w:rPr>
          <w:rFonts w:cs="Times New Roman"/>
          <w:sz w:val="22"/>
          <w:szCs w:val="22"/>
        </w:rPr>
        <w:t>N</w:t>
      </w:r>
      <w:r w:rsidR="008B6333" w:rsidRPr="008F704B">
        <w:rPr>
          <w:rFonts w:cs="Times New Roman"/>
          <w:sz w:val="22"/>
          <w:szCs w:val="22"/>
        </w:rPr>
        <w:t>ationale</w:t>
      </w:r>
      <w:r w:rsidR="000018A0">
        <w:rPr>
          <w:rFonts w:cs="Times New Roman"/>
          <w:sz w:val="22"/>
          <w:szCs w:val="22"/>
        </w:rPr>
        <w:t xml:space="preserve"> (SN)</w:t>
      </w:r>
      <w:r w:rsidR="00F13E7B">
        <w:rPr>
          <w:rFonts w:cs="Times New Roman"/>
          <w:sz w:val="22"/>
          <w:szCs w:val="22"/>
        </w:rPr>
        <w:t xml:space="preserve"> </w:t>
      </w:r>
      <w:r w:rsidR="00C75208">
        <w:rPr>
          <w:rFonts w:cs="Times New Roman"/>
          <w:sz w:val="22"/>
          <w:szCs w:val="22"/>
        </w:rPr>
        <w:t>adopté</w:t>
      </w:r>
      <w:r w:rsidR="00DB1ED7">
        <w:rPr>
          <w:rFonts w:cs="Times New Roman"/>
          <w:sz w:val="22"/>
          <w:szCs w:val="22"/>
        </w:rPr>
        <w:t>e</w:t>
      </w:r>
      <w:r w:rsidR="00C75208">
        <w:rPr>
          <w:rFonts w:cs="Times New Roman"/>
          <w:sz w:val="22"/>
          <w:szCs w:val="22"/>
        </w:rPr>
        <w:t xml:space="preserve"> en conseil des ministres le 21juillet 2021</w:t>
      </w:r>
      <w:r w:rsidR="008B6333" w:rsidRPr="008F704B">
        <w:rPr>
          <w:rFonts w:cs="Times New Roman"/>
          <w:sz w:val="22"/>
          <w:szCs w:val="22"/>
        </w:rPr>
        <w:t xml:space="preserve"> aux fins de mitiger les insuffisances relevées par cette évaluation. </w:t>
      </w:r>
    </w:p>
    <w:p w14:paraId="7DF75ADF" w14:textId="1800F7A6" w:rsidR="00CC354D" w:rsidRPr="00F83BD5" w:rsidRDefault="00F13E7B" w:rsidP="00DD206B">
      <w:pPr>
        <w:spacing w:line="360" w:lineRule="auto"/>
        <w:jc w:val="both"/>
        <w:rPr>
          <w:rFonts w:cs="Times New Roman"/>
          <w:sz w:val="22"/>
          <w:szCs w:val="22"/>
        </w:rPr>
      </w:pPr>
      <w:r>
        <w:rPr>
          <w:rFonts w:cs="Times New Roman"/>
          <w:sz w:val="22"/>
          <w:szCs w:val="22"/>
        </w:rPr>
        <w:t>B</w:t>
      </w:r>
      <w:r w:rsidR="00FF3FD6">
        <w:rPr>
          <w:rFonts w:cs="Times New Roman"/>
          <w:sz w:val="22"/>
          <w:szCs w:val="22"/>
        </w:rPr>
        <w:t>ien que</w:t>
      </w:r>
      <w:r w:rsidR="008B6333" w:rsidRPr="008F704B">
        <w:rPr>
          <w:rFonts w:cs="Times New Roman"/>
          <w:sz w:val="22"/>
          <w:szCs w:val="22"/>
        </w:rPr>
        <w:t xml:space="preserve"> des mesures d’atténuation </w:t>
      </w:r>
      <w:r>
        <w:rPr>
          <w:rFonts w:cs="Times New Roman"/>
          <w:sz w:val="22"/>
          <w:szCs w:val="22"/>
        </w:rPr>
        <w:t xml:space="preserve">aient été </w:t>
      </w:r>
      <w:r w:rsidR="008B6333" w:rsidRPr="008F704B">
        <w:rPr>
          <w:rFonts w:cs="Times New Roman"/>
          <w:sz w:val="22"/>
          <w:szCs w:val="22"/>
        </w:rPr>
        <w:t xml:space="preserve">adoptées par le pays dans le cadre </w:t>
      </w:r>
      <w:r w:rsidR="004E1082" w:rsidRPr="008F704B">
        <w:rPr>
          <w:rFonts w:cs="Times New Roman"/>
          <w:sz w:val="22"/>
          <w:szCs w:val="22"/>
        </w:rPr>
        <w:t xml:space="preserve">de </w:t>
      </w:r>
      <w:r w:rsidR="008B6333" w:rsidRPr="008F704B">
        <w:rPr>
          <w:rFonts w:cs="Times New Roman"/>
          <w:sz w:val="22"/>
          <w:szCs w:val="22"/>
        </w:rPr>
        <w:t>cette stratégie</w:t>
      </w:r>
      <w:r w:rsidR="008B6333" w:rsidRPr="000E6CAC">
        <w:rPr>
          <w:rFonts w:cs="Times New Roman"/>
          <w:color w:val="000000" w:themeColor="text1"/>
          <w:sz w:val="22"/>
          <w:szCs w:val="22"/>
        </w:rPr>
        <w:t>, le R</w:t>
      </w:r>
      <w:r w:rsidR="00233081" w:rsidRPr="000E6CAC">
        <w:rPr>
          <w:rFonts w:cs="Times New Roman"/>
          <w:color w:val="000000" w:themeColor="text1"/>
          <w:sz w:val="22"/>
          <w:szCs w:val="22"/>
        </w:rPr>
        <w:t>apport d’</w:t>
      </w:r>
      <w:r w:rsidR="008B6333" w:rsidRPr="000E6CAC">
        <w:rPr>
          <w:rFonts w:cs="Times New Roman"/>
          <w:color w:val="000000" w:themeColor="text1"/>
          <w:sz w:val="22"/>
          <w:szCs w:val="22"/>
        </w:rPr>
        <w:t>E</w:t>
      </w:r>
      <w:r w:rsidR="00233081" w:rsidRPr="000E6CAC">
        <w:rPr>
          <w:rFonts w:cs="Times New Roman"/>
          <w:color w:val="000000" w:themeColor="text1"/>
          <w:sz w:val="22"/>
          <w:szCs w:val="22"/>
        </w:rPr>
        <w:t xml:space="preserve">valuation </w:t>
      </w:r>
      <w:r w:rsidR="008B6333" w:rsidRPr="000E6CAC">
        <w:rPr>
          <w:rFonts w:cs="Times New Roman"/>
          <w:color w:val="000000" w:themeColor="text1"/>
          <w:sz w:val="22"/>
          <w:szCs w:val="22"/>
        </w:rPr>
        <w:t>M</w:t>
      </w:r>
      <w:r w:rsidR="00233081" w:rsidRPr="000E6CAC">
        <w:rPr>
          <w:rFonts w:cs="Times New Roman"/>
          <w:color w:val="000000" w:themeColor="text1"/>
          <w:sz w:val="22"/>
          <w:szCs w:val="22"/>
        </w:rPr>
        <w:t>utuelle (REM)</w:t>
      </w:r>
      <w:r w:rsidR="008B6333" w:rsidRPr="000E6CAC">
        <w:rPr>
          <w:rFonts w:cs="Times New Roman"/>
          <w:color w:val="000000" w:themeColor="text1"/>
          <w:sz w:val="22"/>
          <w:szCs w:val="22"/>
        </w:rPr>
        <w:t xml:space="preserve"> de 2022 a</w:t>
      </w:r>
      <w:r w:rsidR="004E1082" w:rsidRPr="008F704B">
        <w:rPr>
          <w:rFonts w:cs="Times New Roman"/>
          <w:sz w:val="22"/>
          <w:szCs w:val="22"/>
        </w:rPr>
        <w:t xml:space="preserve"> </w:t>
      </w:r>
      <w:r w:rsidR="00AC4E3C" w:rsidRPr="008F704B">
        <w:rPr>
          <w:rFonts w:cs="Times New Roman"/>
          <w:sz w:val="22"/>
          <w:szCs w:val="22"/>
        </w:rPr>
        <w:t>révélé</w:t>
      </w:r>
      <w:r w:rsidR="00AE0BD6" w:rsidRPr="008F704B">
        <w:rPr>
          <w:rFonts w:cs="Times New Roman"/>
          <w:sz w:val="22"/>
          <w:szCs w:val="22"/>
        </w:rPr>
        <w:t xml:space="preserve"> </w:t>
      </w:r>
      <w:r w:rsidR="008B6333" w:rsidRPr="008F704B">
        <w:rPr>
          <w:rFonts w:cs="Times New Roman"/>
          <w:sz w:val="22"/>
          <w:szCs w:val="22"/>
        </w:rPr>
        <w:t>des insuffisances dans la compréhension des risques du pays, mettant ainsi en évidence la</w:t>
      </w:r>
      <w:r w:rsidR="00B77629" w:rsidRPr="008F704B">
        <w:rPr>
          <w:rFonts w:cs="Times New Roman"/>
          <w:sz w:val="22"/>
          <w:szCs w:val="22"/>
        </w:rPr>
        <w:t xml:space="preserve"> </w:t>
      </w:r>
      <w:r w:rsidR="008B6333" w:rsidRPr="008F704B">
        <w:rPr>
          <w:rFonts w:cs="Times New Roman"/>
          <w:sz w:val="22"/>
          <w:szCs w:val="22"/>
        </w:rPr>
        <w:t>nécessité d’une mise à jour de l’évaluation de la menace</w:t>
      </w:r>
      <w:r w:rsidR="005F626A" w:rsidRPr="008F704B">
        <w:rPr>
          <w:rFonts w:cs="Times New Roman"/>
          <w:sz w:val="22"/>
          <w:szCs w:val="22"/>
        </w:rPr>
        <w:t xml:space="preserve"> de BC ainsi que du </w:t>
      </w:r>
      <w:r>
        <w:rPr>
          <w:rFonts w:cs="Times New Roman"/>
          <w:sz w:val="22"/>
          <w:szCs w:val="22"/>
        </w:rPr>
        <w:t>F</w:t>
      </w:r>
      <w:r w:rsidR="005F626A" w:rsidRPr="008F704B">
        <w:rPr>
          <w:rFonts w:cs="Times New Roman"/>
          <w:sz w:val="22"/>
          <w:szCs w:val="22"/>
        </w:rPr>
        <w:t xml:space="preserve">inancement du </w:t>
      </w:r>
      <w:r w:rsidR="00C75208">
        <w:rPr>
          <w:rFonts w:cs="Times New Roman"/>
          <w:sz w:val="22"/>
          <w:szCs w:val="22"/>
        </w:rPr>
        <w:t>T</w:t>
      </w:r>
      <w:r w:rsidR="005F626A" w:rsidRPr="008F704B">
        <w:rPr>
          <w:rFonts w:cs="Times New Roman"/>
          <w:sz w:val="22"/>
          <w:szCs w:val="22"/>
        </w:rPr>
        <w:t xml:space="preserve">errorisme </w:t>
      </w:r>
      <w:r w:rsidR="005F626A" w:rsidRPr="00F83BD5">
        <w:rPr>
          <w:rFonts w:cs="Times New Roman"/>
          <w:sz w:val="22"/>
          <w:szCs w:val="22"/>
        </w:rPr>
        <w:t>(FT)</w:t>
      </w:r>
      <w:r w:rsidR="008B6333" w:rsidRPr="00F83BD5">
        <w:rPr>
          <w:rFonts w:cs="Times New Roman"/>
          <w:sz w:val="22"/>
          <w:szCs w:val="22"/>
        </w:rPr>
        <w:t>.</w:t>
      </w:r>
    </w:p>
    <w:p w14:paraId="567DE00A" w14:textId="07DCE8F0" w:rsidR="00C95353" w:rsidRDefault="00F83BD5" w:rsidP="00DD206B">
      <w:pPr>
        <w:spacing w:line="360" w:lineRule="auto"/>
        <w:jc w:val="both"/>
        <w:rPr>
          <w:sz w:val="22"/>
          <w:szCs w:val="22"/>
        </w:rPr>
      </w:pPr>
      <w:r w:rsidRPr="00F83BD5">
        <w:rPr>
          <w:sz w:val="22"/>
          <w:szCs w:val="22"/>
        </w:rPr>
        <w:t>Selon la ligne directrice du G</w:t>
      </w:r>
      <w:r w:rsidR="002462F6">
        <w:rPr>
          <w:sz w:val="22"/>
          <w:szCs w:val="22"/>
        </w:rPr>
        <w:t>roupe d’</w:t>
      </w:r>
      <w:r w:rsidRPr="00F83BD5">
        <w:rPr>
          <w:sz w:val="22"/>
          <w:szCs w:val="22"/>
        </w:rPr>
        <w:t>A</w:t>
      </w:r>
      <w:r w:rsidR="002462F6">
        <w:rPr>
          <w:sz w:val="22"/>
          <w:szCs w:val="22"/>
        </w:rPr>
        <w:t xml:space="preserve">ction </w:t>
      </w:r>
      <w:r w:rsidRPr="00F83BD5">
        <w:rPr>
          <w:sz w:val="22"/>
          <w:szCs w:val="22"/>
        </w:rPr>
        <w:t>F</w:t>
      </w:r>
      <w:r w:rsidR="002462F6">
        <w:rPr>
          <w:sz w:val="22"/>
          <w:szCs w:val="22"/>
        </w:rPr>
        <w:t>inancière (GAFI)</w:t>
      </w:r>
      <w:r w:rsidRPr="00F83BD5">
        <w:rPr>
          <w:sz w:val="22"/>
          <w:szCs w:val="22"/>
        </w:rPr>
        <w:t xml:space="preserve"> relative </w:t>
      </w:r>
      <w:r w:rsidR="00C95353">
        <w:rPr>
          <w:sz w:val="22"/>
          <w:szCs w:val="22"/>
        </w:rPr>
        <w:t xml:space="preserve">à </w:t>
      </w:r>
      <w:r w:rsidRPr="00F83BD5">
        <w:rPr>
          <w:sz w:val="22"/>
          <w:szCs w:val="22"/>
        </w:rPr>
        <w:t>l’E</w:t>
      </w:r>
      <w:r w:rsidR="006473E4">
        <w:rPr>
          <w:sz w:val="22"/>
          <w:szCs w:val="22"/>
        </w:rPr>
        <w:t xml:space="preserve">valuation </w:t>
      </w:r>
      <w:r w:rsidRPr="00F83BD5">
        <w:rPr>
          <w:sz w:val="22"/>
          <w:szCs w:val="22"/>
        </w:rPr>
        <w:t>N</w:t>
      </w:r>
      <w:r w:rsidR="006473E4">
        <w:rPr>
          <w:sz w:val="22"/>
          <w:szCs w:val="22"/>
        </w:rPr>
        <w:t xml:space="preserve">ationale des </w:t>
      </w:r>
      <w:r w:rsidRPr="00F83BD5">
        <w:rPr>
          <w:sz w:val="22"/>
          <w:szCs w:val="22"/>
        </w:rPr>
        <w:t>R</w:t>
      </w:r>
      <w:r w:rsidR="006473E4">
        <w:rPr>
          <w:sz w:val="22"/>
          <w:szCs w:val="22"/>
        </w:rPr>
        <w:t>isques</w:t>
      </w:r>
      <w:r w:rsidRPr="00F83BD5">
        <w:rPr>
          <w:sz w:val="22"/>
          <w:szCs w:val="22"/>
        </w:rPr>
        <w:t xml:space="preserve">, une </w:t>
      </w:r>
      <w:r w:rsidRPr="00F83BD5">
        <w:rPr>
          <w:rStyle w:val="Accentuation"/>
          <w:b/>
          <w:bCs/>
          <w:sz w:val="22"/>
          <w:szCs w:val="22"/>
        </w:rPr>
        <w:t>menace</w:t>
      </w:r>
      <w:r w:rsidRPr="00F83BD5">
        <w:rPr>
          <w:sz w:val="22"/>
          <w:szCs w:val="22"/>
        </w:rPr>
        <w:t xml:space="preserve"> est une personne, un groupe ou une activité ayant le potentiel de causer un préjudice à l’État, à la société ou à l’économie. </w:t>
      </w:r>
      <w:r w:rsidR="00DB0C38">
        <w:rPr>
          <w:sz w:val="22"/>
          <w:szCs w:val="22"/>
        </w:rPr>
        <w:t>Ainsi en matière de blanchiment de capitaux la menace concerne</w:t>
      </w:r>
      <w:r w:rsidRPr="00F83BD5">
        <w:rPr>
          <w:sz w:val="22"/>
          <w:szCs w:val="22"/>
        </w:rPr>
        <w:t xml:space="preserve"> les individus, groupes ou entités criminels et leurs facilitateurs qui cherchent à dissimuler l’origine illicite des fonds par des activités passées, présentes ou futures.</w:t>
      </w:r>
    </w:p>
    <w:p w14:paraId="18E851CC" w14:textId="5ED7E81B" w:rsidR="00C95353" w:rsidRPr="006473E4" w:rsidRDefault="00DB0C38" w:rsidP="00DD206B">
      <w:pPr>
        <w:spacing w:line="360" w:lineRule="auto"/>
        <w:jc w:val="both"/>
        <w:rPr>
          <w:sz w:val="22"/>
          <w:szCs w:val="22"/>
        </w:rPr>
      </w:pPr>
      <w:r>
        <w:rPr>
          <w:sz w:val="22"/>
          <w:szCs w:val="22"/>
        </w:rPr>
        <w:t>L</w:t>
      </w:r>
      <w:r w:rsidR="00C95353" w:rsidRPr="006473E4">
        <w:rPr>
          <w:sz w:val="22"/>
          <w:szCs w:val="22"/>
        </w:rPr>
        <w:t xml:space="preserve">’évaluation de la menace </w:t>
      </w:r>
      <w:r w:rsidR="00F13E7B">
        <w:rPr>
          <w:sz w:val="22"/>
          <w:szCs w:val="22"/>
        </w:rPr>
        <w:t>a</w:t>
      </w:r>
      <w:r>
        <w:rPr>
          <w:sz w:val="22"/>
          <w:szCs w:val="22"/>
        </w:rPr>
        <w:t xml:space="preserve"> pour objectif</w:t>
      </w:r>
      <w:r w:rsidR="00C95353" w:rsidRPr="006473E4">
        <w:rPr>
          <w:sz w:val="22"/>
          <w:szCs w:val="22"/>
        </w:rPr>
        <w:t> :</w:t>
      </w:r>
    </w:p>
    <w:p w14:paraId="2396C877" w14:textId="32DD551B" w:rsidR="00C95353" w:rsidRPr="006473E4" w:rsidRDefault="00DB0C38" w:rsidP="00DD206B">
      <w:pPr>
        <w:pStyle w:val="Paragraphedeliste1"/>
        <w:numPr>
          <w:ilvl w:val="0"/>
          <w:numId w:val="12"/>
        </w:numPr>
        <w:spacing w:after="0" w:line="360" w:lineRule="auto"/>
        <w:jc w:val="both"/>
        <w:rPr>
          <w:rFonts w:ascii="Times New Roman" w:hAnsi="Times New Roman" w:cs="Times New Roman"/>
          <w:color w:val="000000"/>
          <w:lang w:val="fr-FR"/>
        </w:rPr>
      </w:pPr>
      <w:proofErr w:type="gramStart"/>
      <w:r>
        <w:rPr>
          <w:rFonts w:ascii="Times New Roman" w:hAnsi="Times New Roman" w:cs="Times New Roman"/>
          <w:color w:val="000000"/>
          <w:lang w:val="fr-FR"/>
        </w:rPr>
        <w:t>d’</w:t>
      </w:r>
      <w:r w:rsidR="00C95353" w:rsidRPr="006473E4">
        <w:rPr>
          <w:rFonts w:ascii="Times New Roman" w:hAnsi="Times New Roman" w:cs="Times New Roman"/>
          <w:color w:val="000000"/>
          <w:lang w:val="fr-FR"/>
        </w:rPr>
        <w:t>identifier</w:t>
      </w:r>
      <w:proofErr w:type="gramEnd"/>
      <w:r w:rsidR="00C95353" w:rsidRPr="006473E4">
        <w:rPr>
          <w:rFonts w:ascii="Times New Roman" w:hAnsi="Times New Roman" w:cs="Times New Roman"/>
          <w:color w:val="000000"/>
          <w:lang w:val="fr-FR"/>
        </w:rPr>
        <w:t xml:space="preserve"> les menaces de blanchiment de capitaux et comprendre ces menaces en termes de type d’infraction sous-jacente, d’origine et de secteur ;</w:t>
      </w:r>
    </w:p>
    <w:p w14:paraId="6A955066" w14:textId="59862814" w:rsidR="00C95353" w:rsidRPr="006473E4" w:rsidRDefault="00DB0C38" w:rsidP="00DD206B">
      <w:pPr>
        <w:pStyle w:val="Paragraphedeliste1"/>
        <w:numPr>
          <w:ilvl w:val="0"/>
          <w:numId w:val="12"/>
        </w:numPr>
        <w:spacing w:after="0" w:line="360" w:lineRule="auto"/>
        <w:jc w:val="both"/>
        <w:rPr>
          <w:rFonts w:ascii="Times New Roman" w:hAnsi="Times New Roman" w:cs="Times New Roman"/>
          <w:color w:val="000000"/>
          <w:lang w:val="fr-FR"/>
        </w:rPr>
      </w:pPr>
      <w:proofErr w:type="gramStart"/>
      <w:r>
        <w:rPr>
          <w:rFonts w:ascii="Times New Roman" w:hAnsi="Times New Roman" w:cs="Times New Roman"/>
          <w:color w:val="000000"/>
          <w:lang w:val="fr-FR"/>
        </w:rPr>
        <w:t>de</w:t>
      </w:r>
      <w:proofErr w:type="gramEnd"/>
      <w:r>
        <w:rPr>
          <w:rFonts w:ascii="Times New Roman" w:hAnsi="Times New Roman" w:cs="Times New Roman"/>
          <w:color w:val="000000"/>
          <w:lang w:val="fr-FR"/>
        </w:rPr>
        <w:t xml:space="preserve"> </w:t>
      </w:r>
      <w:r w:rsidR="00C95353" w:rsidRPr="006473E4">
        <w:rPr>
          <w:rFonts w:ascii="Times New Roman" w:hAnsi="Times New Roman" w:cs="Times New Roman"/>
          <w:color w:val="000000"/>
          <w:lang w:val="fr-FR"/>
        </w:rPr>
        <w:t>collecter de manière systématique les données pour l’évaluation des menaces de blanchiment de capitaux ;</w:t>
      </w:r>
    </w:p>
    <w:p w14:paraId="7D3A4AB8" w14:textId="1F5502E9" w:rsidR="00C95353" w:rsidRPr="006473E4" w:rsidRDefault="00DB0C38" w:rsidP="00DD206B">
      <w:pPr>
        <w:pStyle w:val="Paragraphedeliste1"/>
        <w:numPr>
          <w:ilvl w:val="0"/>
          <w:numId w:val="12"/>
        </w:numPr>
        <w:spacing w:after="0" w:line="360" w:lineRule="auto"/>
        <w:jc w:val="both"/>
        <w:rPr>
          <w:rFonts w:ascii="Times New Roman" w:hAnsi="Times New Roman" w:cs="Times New Roman"/>
          <w:color w:val="000000"/>
          <w:lang w:val="fr-FR"/>
        </w:rPr>
      </w:pPr>
      <w:proofErr w:type="gramStart"/>
      <w:r>
        <w:rPr>
          <w:rFonts w:ascii="Times New Roman" w:hAnsi="Times New Roman" w:cs="Times New Roman"/>
          <w:color w:val="000000"/>
          <w:lang w:val="fr-FR"/>
        </w:rPr>
        <w:t>d’</w:t>
      </w:r>
      <w:r w:rsidR="00C95353" w:rsidRPr="006473E4">
        <w:rPr>
          <w:rFonts w:ascii="Times New Roman" w:hAnsi="Times New Roman" w:cs="Times New Roman"/>
          <w:color w:val="000000"/>
          <w:lang w:val="fr-FR"/>
        </w:rPr>
        <w:t>analyser</w:t>
      </w:r>
      <w:proofErr w:type="gramEnd"/>
      <w:r w:rsidR="00C95353" w:rsidRPr="006473E4">
        <w:rPr>
          <w:rFonts w:ascii="Times New Roman" w:hAnsi="Times New Roman" w:cs="Times New Roman"/>
          <w:color w:val="000000"/>
          <w:lang w:val="fr-FR"/>
        </w:rPr>
        <w:t xml:space="preserve"> les menaces transfrontalières </w:t>
      </w:r>
      <w:r w:rsidR="00F04AAC">
        <w:rPr>
          <w:rFonts w:ascii="Times New Roman" w:hAnsi="Times New Roman" w:cs="Times New Roman"/>
          <w:color w:val="000000"/>
          <w:lang w:val="fr-FR"/>
        </w:rPr>
        <w:t>ayant un lien avec les</w:t>
      </w:r>
      <w:r w:rsidR="00C95353" w:rsidRPr="006473E4">
        <w:rPr>
          <w:rFonts w:ascii="Times New Roman" w:hAnsi="Times New Roman" w:cs="Times New Roman"/>
          <w:color w:val="000000"/>
          <w:lang w:val="fr-FR"/>
        </w:rPr>
        <w:t xml:space="preserve"> juridictions étrangères. </w:t>
      </w:r>
    </w:p>
    <w:p w14:paraId="176A060D" w14:textId="6C5579F6" w:rsidR="00260A08" w:rsidRDefault="005F626A" w:rsidP="00DD206B">
      <w:pPr>
        <w:tabs>
          <w:tab w:val="left" w:pos="567"/>
        </w:tabs>
        <w:spacing w:before="240" w:after="120" w:line="360" w:lineRule="auto"/>
        <w:contextualSpacing/>
        <w:jc w:val="both"/>
        <w:rPr>
          <w:rFonts w:cs="Times New Roman"/>
          <w:bCs/>
          <w:sz w:val="22"/>
          <w:szCs w:val="22"/>
        </w:rPr>
      </w:pPr>
      <w:r w:rsidRPr="008F704B">
        <w:rPr>
          <w:rFonts w:cs="Times New Roman"/>
          <w:bCs/>
          <w:sz w:val="22"/>
          <w:szCs w:val="22"/>
        </w:rPr>
        <w:lastRenderedPageBreak/>
        <w:t xml:space="preserve"> </w:t>
      </w:r>
      <w:r w:rsidR="00DB0C38">
        <w:rPr>
          <w:rFonts w:cs="Times New Roman"/>
          <w:bCs/>
          <w:sz w:val="22"/>
          <w:szCs w:val="22"/>
        </w:rPr>
        <w:t xml:space="preserve">Le présent </w:t>
      </w:r>
      <w:r w:rsidRPr="008F704B">
        <w:rPr>
          <w:rFonts w:cs="Times New Roman"/>
          <w:bCs/>
          <w:sz w:val="22"/>
          <w:szCs w:val="22"/>
        </w:rPr>
        <w:t>rapport se concentre sur la mise à jour de la menace de BC</w:t>
      </w:r>
      <w:r w:rsidR="00DB0C38">
        <w:rPr>
          <w:rFonts w:cs="Times New Roman"/>
          <w:bCs/>
          <w:sz w:val="22"/>
          <w:szCs w:val="22"/>
        </w:rPr>
        <w:t xml:space="preserve"> réalis</w:t>
      </w:r>
      <w:r w:rsidR="00F13E7B">
        <w:rPr>
          <w:rFonts w:cs="Times New Roman"/>
          <w:bCs/>
          <w:sz w:val="22"/>
          <w:szCs w:val="22"/>
        </w:rPr>
        <w:t>ée</w:t>
      </w:r>
      <w:r w:rsidR="00DB0C38">
        <w:rPr>
          <w:rFonts w:cs="Times New Roman"/>
          <w:bCs/>
          <w:sz w:val="22"/>
          <w:szCs w:val="22"/>
        </w:rPr>
        <w:t xml:space="preserve"> en juin 2024</w:t>
      </w:r>
      <w:r w:rsidRPr="008F704B">
        <w:rPr>
          <w:rFonts w:cs="Times New Roman"/>
          <w:bCs/>
          <w:sz w:val="22"/>
          <w:szCs w:val="22"/>
        </w:rPr>
        <w:t xml:space="preserve">. </w:t>
      </w:r>
      <w:r w:rsidR="00F13E7B">
        <w:rPr>
          <w:rFonts w:cs="Times New Roman"/>
          <w:bCs/>
          <w:sz w:val="22"/>
          <w:szCs w:val="22"/>
        </w:rPr>
        <w:t xml:space="preserve">Cette évaluation </w:t>
      </w:r>
      <w:r w:rsidR="004E1082" w:rsidRPr="008F704B">
        <w:rPr>
          <w:rFonts w:cs="Times New Roman"/>
          <w:bCs/>
          <w:sz w:val="22"/>
          <w:szCs w:val="22"/>
        </w:rPr>
        <w:t>est appréciée sous l’angle des infractions sous-jacentes</w:t>
      </w:r>
      <w:r w:rsidR="00471363" w:rsidRPr="008F704B">
        <w:rPr>
          <w:rFonts w:cs="Times New Roman"/>
          <w:bCs/>
          <w:sz w:val="22"/>
          <w:szCs w:val="22"/>
        </w:rPr>
        <w:t xml:space="preserve"> et se fait en tenant compte de </w:t>
      </w:r>
      <w:r w:rsidR="004E1082" w:rsidRPr="008F704B">
        <w:rPr>
          <w:rFonts w:cs="Times New Roman"/>
          <w:bCs/>
          <w:sz w:val="22"/>
          <w:szCs w:val="22"/>
        </w:rPr>
        <w:t>l’origin</w:t>
      </w:r>
      <w:r w:rsidR="00260A08">
        <w:rPr>
          <w:rFonts w:cs="Times New Roman"/>
          <w:bCs/>
          <w:sz w:val="22"/>
          <w:szCs w:val="22"/>
        </w:rPr>
        <w:t>e de</w:t>
      </w:r>
      <w:r w:rsidR="004E1082" w:rsidRPr="008F704B">
        <w:rPr>
          <w:rFonts w:cs="Times New Roman"/>
          <w:bCs/>
          <w:sz w:val="22"/>
          <w:szCs w:val="22"/>
        </w:rPr>
        <w:t xml:space="preserve"> la menace (I), </w:t>
      </w:r>
      <w:r w:rsidR="00471363" w:rsidRPr="008F704B">
        <w:rPr>
          <w:rFonts w:cs="Times New Roman"/>
          <w:bCs/>
          <w:sz w:val="22"/>
          <w:szCs w:val="22"/>
        </w:rPr>
        <w:t>du</w:t>
      </w:r>
      <w:r w:rsidR="004E1082" w:rsidRPr="008F704B">
        <w:rPr>
          <w:rFonts w:cs="Times New Roman"/>
          <w:bCs/>
          <w:sz w:val="22"/>
          <w:szCs w:val="22"/>
        </w:rPr>
        <w:t xml:space="preserve"> secteur d’activité (II) et</w:t>
      </w:r>
      <w:r w:rsidR="00260A08">
        <w:rPr>
          <w:rFonts w:cs="Times New Roman"/>
          <w:bCs/>
          <w:sz w:val="22"/>
          <w:szCs w:val="22"/>
        </w:rPr>
        <w:t xml:space="preserve"> de l’utilisation</w:t>
      </w:r>
      <w:r w:rsidR="004E1082" w:rsidRPr="008F704B">
        <w:rPr>
          <w:rFonts w:cs="Times New Roman"/>
          <w:bCs/>
          <w:sz w:val="22"/>
          <w:szCs w:val="22"/>
        </w:rPr>
        <w:t xml:space="preserve"> </w:t>
      </w:r>
      <w:r w:rsidR="00260A08">
        <w:rPr>
          <w:rFonts w:cs="Times New Roman"/>
          <w:bCs/>
          <w:sz w:val="22"/>
          <w:szCs w:val="22"/>
        </w:rPr>
        <w:t>d</w:t>
      </w:r>
      <w:r w:rsidR="004E1082" w:rsidRPr="008F704B">
        <w:rPr>
          <w:rFonts w:cs="Times New Roman"/>
          <w:bCs/>
          <w:sz w:val="22"/>
          <w:szCs w:val="22"/>
        </w:rPr>
        <w:t>es personnes morales (I</w:t>
      </w:r>
      <w:r w:rsidR="00260A08">
        <w:rPr>
          <w:rFonts w:cs="Times New Roman"/>
          <w:bCs/>
          <w:sz w:val="22"/>
          <w:szCs w:val="22"/>
        </w:rPr>
        <w:t>II</w:t>
      </w:r>
      <w:r w:rsidR="004E1082" w:rsidRPr="008F704B">
        <w:rPr>
          <w:rFonts w:cs="Times New Roman"/>
          <w:bCs/>
          <w:sz w:val="22"/>
          <w:szCs w:val="22"/>
        </w:rPr>
        <w:t>).</w:t>
      </w:r>
    </w:p>
    <w:p w14:paraId="6380CFBC" w14:textId="2634B6C6" w:rsidR="004E1082" w:rsidRPr="008F704B" w:rsidRDefault="004228AF" w:rsidP="00DD206B">
      <w:pPr>
        <w:tabs>
          <w:tab w:val="left" w:pos="567"/>
        </w:tabs>
        <w:spacing w:before="240" w:after="120" w:line="360" w:lineRule="auto"/>
        <w:contextualSpacing/>
        <w:jc w:val="both"/>
        <w:rPr>
          <w:rFonts w:cs="Times New Roman"/>
          <w:bCs/>
          <w:sz w:val="22"/>
          <w:szCs w:val="22"/>
        </w:rPr>
      </w:pPr>
      <w:r>
        <w:rPr>
          <w:rFonts w:cs="Times New Roman"/>
          <w:bCs/>
          <w:sz w:val="22"/>
          <w:szCs w:val="22"/>
        </w:rPr>
        <w:t>Il convient d’indiquer que l</w:t>
      </w:r>
      <w:r w:rsidR="005F626A" w:rsidRPr="008F704B">
        <w:rPr>
          <w:rFonts w:cs="Times New Roman"/>
          <w:bCs/>
          <w:sz w:val="22"/>
          <w:szCs w:val="22"/>
        </w:rPr>
        <w:t>a mise à jour de la menace du FT est documenté</w:t>
      </w:r>
      <w:r w:rsidR="00D24942" w:rsidRPr="008F704B">
        <w:rPr>
          <w:rFonts w:cs="Times New Roman"/>
          <w:bCs/>
          <w:sz w:val="22"/>
          <w:szCs w:val="22"/>
        </w:rPr>
        <w:t>e</w:t>
      </w:r>
      <w:r w:rsidR="005F626A" w:rsidRPr="008F704B">
        <w:rPr>
          <w:rFonts w:cs="Times New Roman"/>
          <w:bCs/>
          <w:sz w:val="22"/>
          <w:szCs w:val="22"/>
        </w:rPr>
        <w:t xml:space="preserve"> dans un rapport distinct. </w:t>
      </w:r>
    </w:p>
    <w:p w14:paraId="4905438C" w14:textId="0D295507" w:rsidR="00B77629" w:rsidRPr="00260A08" w:rsidRDefault="00471363" w:rsidP="00DD206B">
      <w:pPr>
        <w:tabs>
          <w:tab w:val="left" w:pos="567"/>
        </w:tabs>
        <w:spacing w:before="240" w:after="120" w:line="360" w:lineRule="auto"/>
        <w:contextualSpacing/>
        <w:jc w:val="both"/>
        <w:rPr>
          <w:rFonts w:cs="Times New Roman"/>
          <w:bCs/>
          <w:sz w:val="22"/>
          <w:szCs w:val="22"/>
        </w:rPr>
      </w:pPr>
      <w:r w:rsidRPr="008F704B">
        <w:rPr>
          <w:rFonts w:cs="Times New Roman"/>
          <w:bCs/>
          <w:sz w:val="22"/>
          <w:szCs w:val="22"/>
        </w:rPr>
        <w:t>Avant d’aborder ces chapitres, une présentation de la méthodologie suivie s’impose.</w:t>
      </w:r>
    </w:p>
    <w:p w14:paraId="2FCA4BFA" w14:textId="77777777" w:rsidR="00B77629" w:rsidRPr="008F704B" w:rsidRDefault="00B77629" w:rsidP="00DD206B">
      <w:pPr>
        <w:spacing w:line="360" w:lineRule="auto"/>
        <w:jc w:val="both"/>
        <w:rPr>
          <w:rFonts w:cs="Times New Roman"/>
          <w:sz w:val="22"/>
          <w:szCs w:val="22"/>
        </w:rPr>
      </w:pPr>
    </w:p>
    <w:p w14:paraId="5E6F883C" w14:textId="77777777" w:rsidR="00CC354D" w:rsidRPr="008F704B" w:rsidRDefault="00CC354D" w:rsidP="00DD206B">
      <w:pPr>
        <w:spacing w:line="360" w:lineRule="auto"/>
        <w:jc w:val="both"/>
        <w:rPr>
          <w:rFonts w:cs="Times New Roman"/>
          <w:sz w:val="22"/>
          <w:szCs w:val="22"/>
        </w:rPr>
      </w:pPr>
    </w:p>
    <w:p w14:paraId="5357EAD5" w14:textId="77777777" w:rsidR="002E19C8" w:rsidRPr="008F704B" w:rsidRDefault="002E19C8" w:rsidP="00DD206B">
      <w:pPr>
        <w:tabs>
          <w:tab w:val="left" w:pos="567"/>
        </w:tabs>
        <w:spacing w:before="240" w:after="120" w:line="360" w:lineRule="auto"/>
        <w:contextualSpacing/>
        <w:jc w:val="both"/>
        <w:rPr>
          <w:rFonts w:cs="Times New Roman"/>
          <w:b/>
          <w:bCs/>
          <w:sz w:val="22"/>
          <w:szCs w:val="22"/>
        </w:rPr>
        <w:sectPr w:rsidR="002E19C8" w:rsidRPr="008F704B" w:rsidSect="004838E6">
          <w:pgSz w:w="11906" w:h="16838" w:code="9"/>
          <w:pgMar w:top="1440" w:right="1440" w:bottom="1134" w:left="1440" w:header="708" w:footer="708" w:gutter="0"/>
          <w:cols w:space="708"/>
          <w:docGrid w:linePitch="360"/>
        </w:sectPr>
      </w:pPr>
      <w:bookmarkStart w:id="1" w:name="_Toc26400931"/>
    </w:p>
    <w:p w14:paraId="1476CF7D" w14:textId="77777777" w:rsidR="002E22F1" w:rsidRPr="008F704B" w:rsidRDefault="002E22F1" w:rsidP="00DD206B">
      <w:pPr>
        <w:pStyle w:val="Titre1"/>
        <w:rPr>
          <w:sz w:val="22"/>
        </w:rPr>
        <w:sectPr w:rsidR="002E22F1" w:rsidRPr="008F704B" w:rsidSect="004838E6">
          <w:type w:val="continuous"/>
          <w:pgSz w:w="11906" w:h="16838" w:code="9"/>
          <w:pgMar w:top="1440" w:right="1440" w:bottom="1134" w:left="1440" w:header="708" w:footer="708" w:gutter="0"/>
          <w:cols w:space="708"/>
          <w:docGrid w:linePitch="360"/>
        </w:sectPr>
      </w:pPr>
    </w:p>
    <w:p w14:paraId="0252883D" w14:textId="1157EA42" w:rsidR="004E1082" w:rsidRPr="008F704B" w:rsidRDefault="004E1082" w:rsidP="00DD206B">
      <w:pPr>
        <w:pStyle w:val="Titre1"/>
        <w:rPr>
          <w:sz w:val="22"/>
        </w:rPr>
      </w:pPr>
      <w:bookmarkStart w:id="2" w:name="_Toc213326895"/>
      <w:r w:rsidRPr="008F704B">
        <w:rPr>
          <w:sz w:val="22"/>
        </w:rPr>
        <w:lastRenderedPageBreak/>
        <w:t>Méthodologie</w:t>
      </w:r>
      <w:bookmarkEnd w:id="2"/>
    </w:p>
    <w:p w14:paraId="59971500" w14:textId="7C11F0EC" w:rsidR="005F626A" w:rsidRPr="008F704B" w:rsidRDefault="004E1082" w:rsidP="009E7750">
      <w:pPr>
        <w:spacing w:line="360" w:lineRule="auto"/>
        <w:contextualSpacing/>
        <w:jc w:val="both"/>
        <w:rPr>
          <w:rFonts w:cs="Times New Roman"/>
          <w:sz w:val="22"/>
          <w:szCs w:val="22"/>
        </w:rPr>
      </w:pPr>
      <w:r w:rsidRPr="008F704B">
        <w:rPr>
          <w:rFonts w:cs="Times New Roman"/>
          <w:sz w:val="22"/>
          <w:szCs w:val="22"/>
        </w:rPr>
        <w:t>En 2019, l’ENR a été réalisé</w:t>
      </w:r>
      <w:r w:rsidR="004C5270" w:rsidRPr="008F704B">
        <w:rPr>
          <w:rFonts w:cs="Times New Roman"/>
          <w:sz w:val="22"/>
          <w:szCs w:val="22"/>
        </w:rPr>
        <w:t>e</w:t>
      </w:r>
      <w:r w:rsidRPr="008F704B">
        <w:rPr>
          <w:rFonts w:cs="Times New Roman"/>
          <w:sz w:val="22"/>
          <w:szCs w:val="22"/>
        </w:rPr>
        <w:t xml:space="preserve"> avec l</w:t>
      </w:r>
      <w:r w:rsidR="009E7750">
        <w:rPr>
          <w:rFonts w:cs="Times New Roman"/>
          <w:sz w:val="22"/>
          <w:szCs w:val="22"/>
        </w:rPr>
        <w:t xml:space="preserve">a </w:t>
      </w:r>
      <w:r w:rsidR="009D0284">
        <w:rPr>
          <w:rFonts w:cs="Times New Roman"/>
          <w:sz w:val="22"/>
          <w:szCs w:val="22"/>
        </w:rPr>
        <w:t>méthodologie de</w:t>
      </w:r>
      <w:r w:rsidR="00324120" w:rsidRPr="008F704B">
        <w:rPr>
          <w:rFonts w:cs="Times New Roman"/>
          <w:sz w:val="22"/>
          <w:szCs w:val="22"/>
        </w:rPr>
        <w:t xml:space="preserve"> la Banque Mondiale</w:t>
      </w:r>
      <w:r w:rsidRPr="008F704B">
        <w:rPr>
          <w:rFonts w:cs="Times New Roman"/>
          <w:sz w:val="22"/>
          <w:szCs w:val="22"/>
        </w:rPr>
        <w:t xml:space="preserve"> </w:t>
      </w:r>
      <w:r w:rsidR="00324120" w:rsidRPr="008F704B">
        <w:rPr>
          <w:rFonts w:cs="Times New Roman"/>
          <w:sz w:val="22"/>
          <w:szCs w:val="22"/>
        </w:rPr>
        <w:t>(</w:t>
      </w:r>
      <w:r w:rsidRPr="008F704B">
        <w:rPr>
          <w:rFonts w:cs="Times New Roman"/>
          <w:sz w:val="22"/>
          <w:szCs w:val="22"/>
        </w:rPr>
        <w:t>BM</w:t>
      </w:r>
      <w:r w:rsidR="00324120" w:rsidRPr="008F704B">
        <w:rPr>
          <w:rFonts w:cs="Times New Roman"/>
          <w:sz w:val="22"/>
          <w:szCs w:val="22"/>
        </w:rPr>
        <w:t>)</w:t>
      </w:r>
      <w:r w:rsidR="004C5270" w:rsidRPr="008F704B">
        <w:rPr>
          <w:rFonts w:cs="Times New Roman"/>
          <w:sz w:val="22"/>
          <w:szCs w:val="22"/>
        </w:rPr>
        <w:t xml:space="preserve"> qui traite à la fois les risques inhérents ainsi que les mesures d’atténuation.</w:t>
      </w:r>
      <w:r w:rsidRPr="008F704B">
        <w:rPr>
          <w:rFonts w:cs="Times New Roman"/>
          <w:sz w:val="22"/>
          <w:szCs w:val="22"/>
        </w:rPr>
        <w:t xml:space="preserve"> </w:t>
      </w:r>
      <w:r w:rsidR="009E7750">
        <w:rPr>
          <w:rFonts w:cs="Times New Roman"/>
          <w:sz w:val="22"/>
          <w:szCs w:val="22"/>
        </w:rPr>
        <w:t xml:space="preserve">Il convient de signaler que c’est le module </w:t>
      </w:r>
      <w:r w:rsidR="005F0083">
        <w:rPr>
          <w:rFonts w:cs="Times New Roman"/>
          <w:sz w:val="22"/>
          <w:szCs w:val="22"/>
        </w:rPr>
        <w:t xml:space="preserve">1 </w:t>
      </w:r>
      <w:r w:rsidR="009E7750">
        <w:rPr>
          <w:rFonts w:cs="Times New Roman"/>
          <w:sz w:val="22"/>
          <w:szCs w:val="22"/>
        </w:rPr>
        <w:t>de cette méthodologie qui traite de la menace</w:t>
      </w:r>
      <w:r w:rsidR="005F0083">
        <w:rPr>
          <w:rFonts w:cs="Times New Roman"/>
          <w:sz w:val="22"/>
          <w:szCs w:val="22"/>
        </w:rPr>
        <w:t xml:space="preserve"> de BC</w:t>
      </w:r>
      <w:r w:rsidR="009E7750">
        <w:rPr>
          <w:rFonts w:cs="Times New Roman"/>
          <w:sz w:val="22"/>
          <w:szCs w:val="22"/>
        </w:rPr>
        <w:t xml:space="preserve">. </w:t>
      </w:r>
      <w:r w:rsidR="005F626A" w:rsidRPr="008F704B">
        <w:rPr>
          <w:rFonts w:cs="Times New Roman"/>
          <w:sz w:val="22"/>
          <w:szCs w:val="22"/>
        </w:rPr>
        <w:t xml:space="preserve">Les notations de risques étaient de 5 niveaux, </w:t>
      </w:r>
      <w:r w:rsidR="005F0083">
        <w:rPr>
          <w:rFonts w:cs="Times New Roman"/>
          <w:sz w:val="22"/>
          <w:szCs w:val="22"/>
        </w:rPr>
        <w:t xml:space="preserve">à </w:t>
      </w:r>
      <w:r w:rsidR="009D0284">
        <w:rPr>
          <w:rFonts w:cs="Times New Roman"/>
          <w:sz w:val="22"/>
          <w:szCs w:val="22"/>
        </w:rPr>
        <w:t xml:space="preserve">savoir </w:t>
      </w:r>
      <w:r w:rsidR="009D0284" w:rsidRPr="008F704B">
        <w:rPr>
          <w:rFonts w:cs="Times New Roman"/>
          <w:sz w:val="22"/>
          <w:szCs w:val="22"/>
        </w:rPr>
        <w:t>Faible</w:t>
      </w:r>
      <w:r w:rsidR="005F626A" w:rsidRPr="008F704B">
        <w:rPr>
          <w:rFonts w:cs="Times New Roman"/>
          <w:sz w:val="22"/>
          <w:szCs w:val="22"/>
        </w:rPr>
        <w:t>, Moyennement Faible, Moyen, Moyennement Élevé, et Élevé.</w:t>
      </w:r>
    </w:p>
    <w:p w14:paraId="730EF180" w14:textId="4124D8E0" w:rsidR="005F626A" w:rsidRPr="008F704B" w:rsidRDefault="005F0083" w:rsidP="00DD206B">
      <w:pPr>
        <w:spacing w:line="360" w:lineRule="auto"/>
        <w:contextualSpacing/>
        <w:jc w:val="both"/>
        <w:rPr>
          <w:rFonts w:cs="Times New Roman"/>
          <w:sz w:val="22"/>
          <w:szCs w:val="22"/>
        </w:rPr>
      </w:pPr>
      <w:r>
        <w:rPr>
          <w:rFonts w:cs="Times New Roman"/>
          <w:sz w:val="22"/>
          <w:szCs w:val="22"/>
        </w:rPr>
        <w:t xml:space="preserve">Dans le cas présent, </w:t>
      </w:r>
      <w:r w:rsidR="004C5270" w:rsidRPr="008F704B">
        <w:rPr>
          <w:rFonts w:cs="Times New Roman"/>
          <w:sz w:val="22"/>
          <w:szCs w:val="22"/>
        </w:rPr>
        <w:t xml:space="preserve">l’accent </w:t>
      </w:r>
      <w:r>
        <w:rPr>
          <w:rFonts w:cs="Times New Roman"/>
          <w:sz w:val="22"/>
          <w:szCs w:val="22"/>
        </w:rPr>
        <w:t>sera mis</w:t>
      </w:r>
      <w:r w:rsidR="004C5270" w:rsidRPr="008F704B">
        <w:rPr>
          <w:rFonts w:cs="Times New Roman"/>
          <w:sz w:val="22"/>
          <w:szCs w:val="22"/>
        </w:rPr>
        <w:t xml:space="preserve"> sur l’analyse de la menace </w:t>
      </w:r>
      <w:r w:rsidR="00C87E33" w:rsidRPr="008F704B">
        <w:rPr>
          <w:rFonts w:cs="Times New Roman"/>
          <w:sz w:val="22"/>
          <w:szCs w:val="22"/>
        </w:rPr>
        <w:t>de Blanchiment de Capitaux</w:t>
      </w:r>
      <w:r w:rsidR="0025608A" w:rsidRPr="008F704B">
        <w:rPr>
          <w:rFonts w:cs="Times New Roman"/>
          <w:sz w:val="22"/>
          <w:szCs w:val="22"/>
        </w:rPr>
        <w:t xml:space="preserve"> (BC) </w:t>
      </w:r>
      <w:r w:rsidR="004C5270" w:rsidRPr="008F704B">
        <w:rPr>
          <w:rFonts w:cs="Times New Roman"/>
          <w:sz w:val="22"/>
          <w:szCs w:val="22"/>
        </w:rPr>
        <w:t>à laquelle</w:t>
      </w:r>
      <w:r w:rsidR="004E1082" w:rsidRPr="008F704B">
        <w:rPr>
          <w:rFonts w:cs="Times New Roman"/>
          <w:sz w:val="22"/>
          <w:szCs w:val="22"/>
        </w:rPr>
        <w:t xml:space="preserve"> le pays est exposé.</w:t>
      </w:r>
      <w:r w:rsidR="005F626A" w:rsidRPr="008F704B">
        <w:rPr>
          <w:rFonts w:cs="Times New Roman"/>
          <w:sz w:val="22"/>
          <w:szCs w:val="22"/>
        </w:rPr>
        <w:t xml:space="preserve"> L’analyse des mesures d’atténuation est bien documentée dans le REM de 2022</w:t>
      </w:r>
      <w:r w:rsidR="00A6133E">
        <w:rPr>
          <w:rFonts w:cs="Times New Roman"/>
          <w:sz w:val="22"/>
          <w:szCs w:val="22"/>
        </w:rPr>
        <w:t>.</w:t>
      </w:r>
      <w:r w:rsidR="005F626A" w:rsidRPr="008F704B">
        <w:rPr>
          <w:rFonts w:cs="Times New Roman"/>
          <w:sz w:val="22"/>
          <w:szCs w:val="22"/>
        </w:rPr>
        <w:t xml:space="preserve"> </w:t>
      </w:r>
      <w:r w:rsidR="006D02EF">
        <w:rPr>
          <w:rFonts w:cs="Times New Roman"/>
          <w:sz w:val="22"/>
          <w:szCs w:val="22"/>
        </w:rPr>
        <w:t>Aussi, l</w:t>
      </w:r>
      <w:r w:rsidR="00A6133E">
        <w:rPr>
          <w:rFonts w:cs="Times New Roman"/>
          <w:sz w:val="22"/>
          <w:szCs w:val="22"/>
        </w:rPr>
        <w:t>e</w:t>
      </w:r>
      <w:r w:rsidR="00B44930" w:rsidRPr="008F704B">
        <w:rPr>
          <w:rFonts w:cs="Times New Roman"/>
          <w:sz w:val="22"/>
          <w:szCs w:val="22"/>
        </w:rPr>
        <w:t xml:space="preserve"> pays a</w:t>
      </w:r>
      <w:r w:rsidR="005F626A" w:rsidRPr="008F704B">
        <w:rPr>
          <w:rFonts w:cs="Times New Roman"/>
          <w:sz w:val="22"/>
          <w:szCs w:val="22"/>
        </w:rPr>
        <w:t xml:space="preserve"> déjà pris de nombreuses nouvelles mesures d’atténuation depuis le REM</w:t>
      </w:r>
      <w:r w:rsidR="0006569C">
        <w:rPr>
          <w:rFonts w:cs="Times New Roman"/>
          <w:sz w:val="22"/>
          <w:szCs w:val="22"/>
        </w:rPr>
        <w:t xml:space="preserve"> et </w:t>
      </w:r>
      <w:r w:rsidR="00A6133E">
        <w:rPr>
          <w:rFonts w:cs="Times New Roman"/>
          <w:sz w:val="22"/>
          <w:szCs w:val="22"/>
        </w:rPr>
        <w:t xml:space="preserve">s’est engagé dans </w:t>
      </w:r>
      <w:r w:rsidR="0006569C">
        <w:rPr>
          <w:rFonts w:cs="Times New Roman"/>
          <w:sz w:val="22"/>
          <w:szCs w:val="22"/>
        </w:rPr>
        <w:t>la mise en œuvre du plan d’action du GAFI</w:t>
      </w:r>
      <w:r w:rsidR="005F626A" w:rsidRPr="008F704B">
        <w:rPr>
          <w:rFonts w:cs="Times New Roman"/>
          <w:sz w:val="22"/>
          <w:szCs w:val="22"/>
        </w:rPr>
        <w:t xml:space="preserve">. </w:t>
      </w:r>
      <w:r w:rsidR="006D02EF">
        <w:rPr>
          <w:rFonts w:cs="Times New Roman"/>
          <w:sz w:val="22"/>
          <w:szCs w:val="22"/>
        </w:rPr>
        <w:t>La présente</w:t>
      </w:r>
      <w:r w:rsidR="005F626A" w:rsidRPr="008F704B">
        <w:rPr>
          <w:rFonts w:cs="Times New Roman"/>
          <w:sz w:val="22"/>
          <w:szCs w:val="22"/>
        </w:rPr>
        <w:t xml:space="preserve"> mise à jour </w:t>
      </w:r>
      <w:r w:rsidR="00F04AAC">
        <w:rPr>
          <w:rFonts w:cs="Times New Roman"/>
          <w:sz w:val="22"/>
          <w:szCs w:val="22"/>
        </w:rPr>
        <w:t xml:space="preserve">porte essentiellement </w:t>
      </w:r>
      <w:r w:rsidR="005F626A" w:rsidRPr="008F704B">
        <w:rPr>
          <w:rFonts w:cs="Times New Roman"/>
          <w:sz w:val="22"/>
          <w:szCs w:val="22"/>
        </w:rPr>
        <w:t>sur la m</w:t>
      </w:r>
      <w:r w:rsidR="00B44930" w:rsidRPr="008F704B">
        <w:rPr>
          <w:rFonts w:cs="Times New Roman"/>
          <w:sz w:val="22"/>
          <w:szCs w:val="22"/>
        </w:rPr>
        <w:t>enace</w:t>
      </w:r>
      <w:r w:rsidR="00E1673D" w:rsidRPr="008F704B">
        <w:rPr>
          <w:rFonts w:cs="Times New Roman"/>
          <w:sz w:val="22"/>
          <w:szCs w:val="22"/>
        </w:rPr>
        <w:t xml:space="preserve"> </w:t>
      </w:r>
      <w:r w:rsidR="005F626A" w:rsidRPr="008F704B">
        <w:rPr>
          <w:rFonts w:cs="Times New Roman"/>
          <w:sz w:val="22"/>
          <w:szCs w:val="22"/>
        </w:rPr>
        <w:t>de BC</w:t>
      </w:r>
      <w:r w:rsidR="00DC1855">
        <w:rPr>
          <w:rFonts w:cs="Times New Roman"/>
          <w:sz w:val="22"/>
          <w:szCs w:val="22"/>
        </w:rPr>
        <w:t>,</w:t>
      </w:r>
      <w:r w:rsidR="005F626A" w:rsidRPr="008F704B">
        <w:rPr>
          <w:rFonts w:cs="Times New Roman"/>
          <w:sz w:val="22"/>
          <w:szCs w:val="22"/>
        </w:rPr>
        <w:t xml:space="preserve"> </w:t>
      </w:r>
      <w:r w:rsidR="006D02EF">
        <w:rPr>
          <w:rFonts w:cs="Times New Roman"/>
          <w:sz w:val="22"/>
          <w:szCs w:val="22"/>
        </w:rPr>
        <w:t>en vue de permettre aux autorités compétentes, au niveau opérationnel, de mettre en place des mesures basées sur le risque</w:t>
      </w:r>
      <w:r w:rsidR="006D02EF">
        <w:rPr>
          <w:rStyle w:val="Appelnotedebasdep"/>
          <w:rFonts w:cs="Times New Roman"/>
          <w:sz w:val="22"/>
          <w:szCs w:val="22"/>
        </w:rPr>
        <w:footnoteReference w:id="2"/>
      </w:r>
      <w:r w:rsidR="006D02EF">
        <w:rPr>
          <w:rFonts w:cs="Times New Roman"/>
          <w:sz w:val="22"/>
          <w:szCs w:val="22"/>
        </w:rPr>
        <w:t>.</w:t>
      </w:r>
      <w:r w:rsidR="005F626A" w:rsidRPr="008F704B">
        <w:rPr>
          <w:rFonts w:cs="Times New Roman"/>
          <w:sz w:val="22"/>
          <w:szCs w:val="22"/>
        </w:rPr>
        <w:t xml:space="preserve"> </w:t>
      </w:r>
    </w:p>
    <w:p w14:paraId="1E910CF8" w14:textId="04417969" w:rsidR="00DC1855" w:rsidRDefault="006B7BCB" w:rsidP="00DD206B">
      <w:pPr>
        <w:spacing w:line="360" w:lineRule="auto"/>
        <w:contextualSpacing/>
        <w:jc w:val="both"/>
        <w:rPr>
          <w:rFonts w:cs="Times New Roman"/>
          <w:sz w:val="22"/>
          <w:szCs w:val="22"/>
        </w:rPr>
      </w:pPr>
      <w:r w:rsidRPr="008F704B">
        <w:rPr>
          <w:rFonts w:cs="Times New Roman"/>
          <w:sz w:val="22"/>
          <w:szCs w:val="22"/>
        </w:rPr>
        <w:t>L</w:t>
      </w:r>
      <w:r w:rsidR="004C5270" w:rsidRPr="008F704B">
        <w:rPr>
          <w:rFonts w:cs="Times New Roman"/>
          <w:sz w:val="22"/>
          <w:szCs w:val="22"/>
        </w:rPr>
        <w:t>es travaux se sont appuyés sur les données identifiées à partir des Déclarations d’Opérations Suspectes (DOS),</w:t>
      </w:r>
      <w:r w:rsidR="0025608A" w:rsidRPr="008F704B">
        <w:rPr>
          <w:rFonts w:cs="Times New Roman"/>
          <w:sz w:val="22"/>
          <w:szCs w:val="22"/>
        </w:rPr>
        <w:t xml:space="preserve"> </w:t>
      </w:r>
      <w:r w:rsidR="004C5270" w:rsidRPr="008F704B">
        <w:rPr>
          <w:rFonts w:cs="Times New Roman"/>
          <w:sz w:val="22"/>
          <w:szCs w:val="22"/>
        </w:rPr>
        <w:t>d</w:t>
      </w:r>
      <w:r w:rsidR="00471363" w:rsidRPr="008F704B">
        <w:rPr>
          <w:rFonts w:cs="Times New Roman"/>
          <w:sz w:val="22"/>
          <w:szCs w:val="22"/>
        </w:rPr>
        <w:t>es statistiques du</w:t>
      </w:r>
      <w:r w:rsidR="004C5270" w:rsidRPr="008F704B">
        <w:rPr>
          <w:rFonts w:cs="Times New Roman"/>
          <w:sz w:val="22"/>
          <w:szCs w:val="22"/>
        </w:rPr>
        <w:t xml:space="preserve"> Pôle Pénal Economique et Financier (PPEF),</w:t>
      </w:r>
      <w:r w:rsidR="00A41273">
        <w:rPr>
          <w:rFonts w:cs="Times New Roman"/>
          <w:sz w:val="22"/>
          <w:szCs w:val="22"/>
        </w:rPr>
        <w:t xml:space="preserve"> des données de la Direction des Affaires Civiles et Pénales (DACP),</w:t>
      </w:r>
      <w:r w:rsidR="004C5270" w:rsidRPr="008F704B">
        <w:rPr>
          <w:rFonts w:cs="Times New Roman"/>
          <w:sz w:val="22"/>
          <w:szCs w:val="22"/>
        </w:rPr>
        <w:t xml:space="preserve"> des sources ouvertes, des </w:t>
      </w:r>
      <w:r w:rsidR="005F626A" w:rsidRPr="008F704B">
        <w:rPr>
          <w:rFonts w:cs="Times New Roman"/>
          <w:sz w:val="22"/>
          <w:szCs w:val="22"/>
        </w:rPr>
        <w:t>« </w:t>
      </w:r>
      <w:r w:rsidR="004C5270" w:rsidRPr="008F704B">
        <w:rPr>
          <w:rFonts w:cs="Times New Roman"/>
          <w:sz w:val="22"/>
          <w:szCs w:val="22"/>
        </w:rPr>
        <w:t xml:space="preserve">dires </w:t>
      </w:r>
      <w:r w:rsidR="005F626A" w:rsidRPr="008F704B">
        <w:rPr>
          <w:rFonts w:cs="Times New Roman"/>
          <w:sz w:val="22"/>
          <w:szCs w:val="22"/>
        </w:rPr>
        <w:t xml:space="preserve">d’experts » </w:t>
      </w:r>
      <w:r w:rsidR="004C5270" w:rsidRPr="008F704B">
        <w:rPr>
          <w:rFonts w:cs="Times New Roman"/>
          <w:sz w:val="22"/>
          <w:szCs w:val="22"/>
        </w:rPr>
        <w:t xml:space="preserve">et celles issues « d’enquêtes parallèles ». </w:t>
      </w:r>
    </w:p>
    <w:p w14:paraId="094AB645" w14:textId="6D5D1EB9" w:rsidR="002848EC" w:rsidRDefault="005F626A" w:rsidP="00DD206B">
      <w:pPr>
        <w:spacing w:line="360" w:lineRule="auto"/>
        <w:contextualSpacing/>
        <w:jc w:val="both"/>
        <w:rPr>
          <w:rFonts w:cs="Times New Roman"/>
          <w:sz w:val="22"/>
          <w:szCs w:val="22"/>
        </w:rPr>
      </w:pPr>
      <w:r w:rsidRPr="008F704B">
        <w:rPr>
          <w:rFonts w:cs="Times New Roman"/>
          <w:sz w:val="22"/>
          <w:szCs w:val="22"/>
        </w:rPr>
        <w:t xml:space="preserve">L’analyse a ciblé les menaces qui avaient été jugées les plus importantes en 2019, et a eu comme objectif de répondre à la question suivante à la lumière des données plus récentes </w:t>
      </w:r>
      <w:r w:rsidRPr="008F704B">
        <w:rPr>
          <w:rFonts w:cs="Times New Roman"/>
          <w:b/>
          <w:bCs/>
          <w:sz w:val="22"/>
          <w:szCs w:val="22"/>
        </w:rPr>
        <w:t>: dans quelle mesure les diverses menaces ont-elles évolué ou changé depuis 2019 ?</w:t>
      </w:r>
    </w:p>
    <w:p w14:paraId="5E1AA482" w14:textId="226BC521" w:rsidR="004C5270" w:rsidRPr="008F704B" w:rsidRDefault="00DC1855" w:rsidP="00664830">
      <w:pPr>
        <w:spacing w:line="360" w:lineRule="auto"/>
        <w:contextualSpacing/>
        <w:jc w:val="both"/>
        <w:rPr>
          <w:rFonts w:cs="Times New Roman"/>
          <w:sz w:val="22"/>
          <w:szCs w:val="22"/>
        </w:rPr>
      </w:pPr>
      <w:r>
        <w:rPr>
          <w:rFonts w:cs="Times New Roman"/>
          <w:sz w:val="22"/>
          <w:szCs w:val="22"/>
        </w:rPr>
        <w:t>Si lors de l</w:t>
      </w:r>
      <w:r w:rsidR="002848EC">
        <w:rPr>
          <w:rFonts w:cs="Times New Roman"/>
          <w:sz w:val="22"/>
          <w:szCs w:val="22"/>
        </w:rPr>
        <w:t>’</w:t>
      </w:r>
      <w:r>
        <w:rPr>
          <w:rFonts w:cs="Times New Roman"/>
          <w:sz w:val="22"/>
          <w:szCs w:val="22"/>
        </w:rPr>
        <w:t xml:space="preserve">ENR </w:t>
      </w:r>
      <w:r w:rsidR="002848EC">
        <w:rPr>
          <w:rFonts w:cs="Times New Roman"/>
          <w:sz w:val="22"/>
          <w:szCs w:val="22"/>
        </w:rPr>
        <w:t xml:space="preserve">de </w:t>
      </w:r>
      <w:r>
        <w:rPr>
          <w:rFonts w:cs="Times New Roman"/>
          <w:sz w:val="22"/>
          <w:szCs w:val="22"/>
        </w:rPr>
        <w:t xml:space="preserve">2018-2019 les notations ont été </w:t>
      </w:r>
      <w:r w:rsidR="00B63E0E">
        <w:rPr>
          <w:rFonts w:cs="Times New Roman"/>
          <w:sz w:val="22"/>
          <w:szCs w:val="22"/>
        </w:rPr>
        <w:t>effectuées</w:t>
      </w:r>
      <w:r>
        <w:rPr>
          <w:rFonts w:cs="Times New Roman"/>
          <w:sz w:val="22"/>
          <w:szCs w:val="22"/>
        </w:rPr>
        <w:t xml:space="preserve"> sur la base de la méthodologie de la BM, la présente analyse est fondée sur les notations issues d</w:t>
      </w:r>
      <w:r w:rsidR="00664830">
        <w:rPr>
          <w:rFonts w:cs="Times New Roman"/>
          <w:sz w:val="22"/>
          <w:szCs w:val="22"/>
        </w:rPr>
        <w:t xml:space="preserve">e </w:t>
      </w:r>
      <w:r w:rsidR="009D0284">
        <w:rPr>
          <w:rFonts w:cs="Times New Roman"/>
          <w:sz w:val="22"/>
          <w:szCs w:val="22"/>
        </w:rPr>
        <w:t>la méthodologie</w:t>
      </w:r>
      <w:r w:rsidR="00664830">
        <w:rPr>
          <w:rFonts w:cs="Times New Roman"/>
          <w:sz w:val="22"/>
          <w:szCs w:val="22"/>
        </w:rPr>
        <w:t xml:space="preserve"> du cabinet MNC</w:t>
      </w:r>
      <w:r w:rsidR="00361A67">
        <w:rPr>
          <w:rFonts w:cs="Times New Roman"/>
          <w:strike/>
          <w:sz w:val="22"/>
          <w:szCs w:val="22"/>
        </w:rPr>
        <w:t xml:space="preserve"> </w:t>
      </w:r>
      <w:r>
        <w:rPr>
          <w:rFonts w:cs="Times New Roman"/>
          <w:sz w:val="22"/>
          <w:szCs w:val="22"/>
        </w:rPr>
        <w:t xml:space="preserve">qui se décline en </w:t>
      </w:r>
      <w:r w:rsidR="005F626A" w:rsidRPr="008F704B">
        <w:rPr>
          <w:rFonts w:cs="Times New Roman"/>
          <w:sz w:val="22"/>
          <w:szCs w:val="22"/>
        </w:rPr>
        <w:t>4 niveaux</w:t>
      </w:r>
      <w:r w:rsidR="00806431" w:rsidRPr="008F704B">
        <w:rPr>
          <w:rFonts w:cs="Times New Roman"/>
          <w:sz w:val="22"/>
          <w:szCs w:val="22"/>
        </w:rPr>
        <w:t> :</w:t>
      </w:r>
      <w:r w:rsidR="005F626A" w:rsidRPr="008F704B">
        <w:rPr>
          <w:rFonts w:cs="Times New Roman"/>
          <w:sz w:val="22"/>
          <w:szCs w:val="22"/>
        </w:rPr>
        <w:t xml:space="preserve"> </w:t>
      </w:r>
      <w:r w:rsidR="005F626A" w:rsidRPr="008F704B">
        <w:rPr>
          <w:rFonts w:cs="Times New Roman"/>
          <w:b/>
          <w:bCs/>
          <w:sz w:val="22"/>
          <w:szCs w:val="22"/>
        </w:rPr>
        <w:t>Faible</w:t>
      </w:r>
      <w:r w:rsidR="005F626A" w:rsidRPr="008F704B">
        <w:rPr>
          <w:rFonts w:cs="Times New Roman"/>
          <w:sz w:val="22"/>
          <w:szCs w:val="22"/>
        </w:rPr>
        <w:t xml:space="preserve">, </w:t>
      </w:r>
      <w:r w:rsidR="005F626A" w:rsidRPr="008F704B">
        <w:rPr>
          <w:rFonts w:cs="Times New Roman"/>
          <w:b/>
          <w:bCs/>
          <w:sz w:val="22"/>
          <w:szCs w:val="22"/>
        </w:rPr>
        <w:t>Moyen</w:t>
      </w:r>
      <w:r w:rsidR="005F626A" w:rsidRPr="008F704B">
        <w:rPr>
          <w:rFonts w:cs="Times New Roman"/>
          <w:sz w:val="22"/>
          <w:szCs w:val="22"/>
        </w:rPr>
        <w:t xml:space="preserve">, </w:t>
      </w:r>
      <w:r w:rsidR="005F626A" w:rsidRPr="008F704B">
        <w:rPr>
          <w:rFonts w:cs="Times New Roman"/>
          <w:b/>
          <w:bCs/>
          <w:sz w:val="22"/>
          <w:szCs w:val="22"/>
        </w:rPr>
        <w:t>Élevé</w:t>
      </w:r>
      <w:r w:rsidR="005F626A" w:rsidRPr="008F704B">
        <w:rPr>
          <w:rFonts w:cs="Times New Roman"/>
          <w:sz w:val="22"/>
          <w:szCs w:val="22"/>
        </w:rPr>
        <w:t xml:space="preserve"> et </w:t>
      </w:r>
      <w:r w:rsidR="005F626A" w:rsidRPr="008F704B">
        <w:rPr>
          <w:rFonts w:cs="Times New Roman"/>
          <w:b/>
          <w:bCs/>
          <w:sz w:val="22"/>
          <w:szCs w:val="22"/>
        </w:rPr>
        <w:t>Très Élevé</w:t>
      </w:r>
      <w:r w:rsidR="002848EC">
        <w:rPr>
          <w:rFonts w:cs="Times New Roman"/>
          <w:b/>
          <w:bCs/>
          <w:sz w:val="22"/>
          <w:szCs w:val="22"/>
        </w:rPr>
        <w:t xml:space="preserve"> (voir tableaux </w:t>
      </w:r>
      <w:r w:rsidR="006A47FA">
        <w:rPr>
          <w:rFonts w:cs="Times New Roman"/>
          <w:b/>
          <w:bCs/>
          <w:sz w:val="22"/>
          <w:szCs w:val="22"/>
        </w:rPr>
        <w:t>schéma ci-dessous</w:t>
      </w:r>
      <w:r w:rsidR="002848EC">
        <w:rPr>
          <w:rFonts w:cs="Times New Roman"/>
          <w:b/>
          <w:bCs/>
          <w:sz w:val="22"/>
          <w:szCs w:val="22"/>
        </w:rPr>
        <w:t>)</w:t>
      </w:r>
      <w:r w:rsidR="0032019A">
        <w:rPr>
          <w:rStyle w:val="Appelnotedebasdep"/>
          <w:rFonts w:cs="Times New Roman"/>
          <w:b/>
          <w:bCs/>
          <w:sz w:val="22"/>
          <w:szCs w:val="22"/>
        </w:rPr>
        <w:footnoteReference w:id="3"/>
      </w:r>
      <w:r w:rsidR="005F626A" w:rsidRPr="008F704B">
        <w:rPr>
          <w:rFonts w:cs="Times New Roman"/>
          <w:sz w:val="22"/>
          <w:szCs w:val="22"/>
        </w:rPr>
        <w:t>.</w:t>
      </w:r>
      <w:r w:rsidR="00664830">
        <w:rPr>
          <w:rFonts w:cs="Times New Roman"/>
          <w:sz w:val="22"/>
          <w:szCs w:val="22"/>
        </w:rPr>
        <w:t xml:space="preserve"> </w:t>
      </w:r>
    </w:p>
    <w:tbl>
      <w:tblPr>
        <w:tblpPr w:leftFromText="141" w:rightFromText="141" w:vertAnchor="text" w:horzAnchor="margin" w:tblpXSpec="center" w:tblpY="296"/>
        <w:tblW w:w="10537" w:type="dxa"/>
        <w:tblCellMar>
          <w:left w:w="70" w:type="dxa"/>
          <w:right w:w="70" w:type="dxa"/>
        </w:tblCellMar>
        <w:tblLook w:val="04A0" w:firstRow="1" w:lastRow="0" w:firstColumn="1" w:lastColumn="0" w:noHBand="0" w:noVBand="1"/>
      </w:tblPr>
      <w:tblGrid>
        <w:gridCol w:w="1107"/>
        <w:gridCol w:w="1061"/>
        <w:gridCol w:w="940"/>
        <w:gridCol w:w="1051"/>
        <w:gridCol w:w="1051"/>
        <w:gridCol w:w="1052"/>
        <w:gridCol w:w="1137"/>
        <w:gridCol w:w="1031"/>
        <w:gridCol w:w="1122"/>
        <w:gridCol w:w="985"/>
      </w:tblGrid>
      <w:tr w:rsidR="009D0284" w:rsidRPr="001A2CDA" w14:paraId="56CBA761" w14:textId="77777777" w:rsidTr="009D0284">
        <w:trPr>
          <w:trHeight w:val="487"/>
        </w:trPr>
        <w:tc>
          <w:tcPr>
            <w:tcW w:w="1107" w:type="dxa"/>
            <w:tcBorders>
              <w:top w:val="nil"/>
              <w:left w:val="nil"/>
              <w:bottom w:val="nil"/>
              <w:right w:val="nil"/>
            </w:tcBorders>
            <w:shd w:val="clear" w:color="auto" w:fill="auto"/>
            <w:noWrap/>
            <w:vAlign w:val="bottom"/>
            <w:hideMark/>
          </w:tcPr>
          <w:p w14:paraId="4C82374A" w14:textId="77777777" w:rsidR="009D0284" w:rsidRPr="001A2CDA" w:rsidRDefault="009D0284" w:rsidP="009D0284">
            <w:pPr>
              <w:spacing w:after="0" w:line="240" w:lineRule="auto"/>
              <w:rPr>
                <w:rFonts w:eastAsia="Times New Roman" w:cs="Times New Roman"/>
                <w:sz w:val="24"/>
                <w:szCs w:val="24"/>
                <w:lang w:eastAsia="fr-FR"/>
              </w:rPr>
            </w:pPr>
          </w:p>
        </w:tc>
        <w:tc>
          <w:tcPr>
            <w:tcW w:w="1061" w:type="dxa"/>
            <w:tcBorders>
              <w:top w:val="nil"/>
              <w:left w:val="nil"/>
              <w:bottom w:val="nil"/>
              <w:right w:val="nil"/>
            </w:tcBorders>
            <w:shd w:val="clear" w:color="auto" w:fill="auto"/>
            <w:noWrap/>
            <w:vAlign w:val="bottom"/>
            <w:hideMark/>
          </w:tcPr>
          <w:p w14:paraId="3A8FFB62" w14:textId="77777777" w:rsidR="009D0284" w:rsidRPr="001A2CDA" w:rsidRDefault="009D0284" w:rsidP="009D0284">
            <w:pPr>
              <w:spacing w:after="0" w:line="240" w:lineRule="auto"/>
              <w:rPr>
                <w:rFonts w:eastAsia="Times New Roman" w:cs="Times New Roman"/>
                <w:szCs w:val="20"/>
                <w:lang w:eastAsia="fr-FR"/>
              </w:rPr>
            </w:pPr>
          </w:p>
        </w:tc>
        <w:tc>
          <w:tcPr>
            <w:tcW w:w="940" w:type="dxa"/>
            <w:tcBorders>
              <w:top w:val="nil"/>
              <w:left w:val="nil"/>
              <w:bottom w:val="nil"/>
              <w:right w:val="nil"/>
            </w:tcBorders>
            <w:shd w:val="clear" w:color="auto" w:fill="auto"/>
            <w:noWrap/>
            <w:vAlign w:val="bottom"/>
            <w:hideMark/>
          </w:tcPr>
          <w:p w14:paraId="40ABAEDA" w14:textId="77777777" w:rsidR="009D0284" w:rsidRPr="001A2CDA" w:rsidRDefault="009D0284" w:rsidP="009D0284">
            <w:pPr>
              <w:spacing w:after="0" w:line="240" w:lineRule="auto"/>
              <w:rPr>
                <w:rFonts w:eastAsia="Times New Roman" w:cs="Times New Roman"/>
                <w:szCs w:val="20"/>
                <w:lang w:eastAsia="fr-FR"/>
              </w:rPr>
            </w:pPr>
          </w:p>
        </w:tc>
        <w:tc>
          <w:tcPr>
            <w:tcW w:w="3154" w:type="dxa"/>
            <w:gridSpan w:val="3"/>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155FA947" w14:textId="77777777" w:rsidR="009D0284" w:rsidRPr="009D0284" w:rsidRDefault="009D0284" w:rsidP="009D0284">
            <w:pPr>
              <w:spacing w:after="0" w:line="240" w:lineRule="auto"/>
              <w:jc w:val="center"/>
              <w:rPr>
                <w:rFonts w:eastAsia="Times New Roman" w:cs="Times New Roman"/>
                <w:b/>
                <w:bCs/>
                <w:color w:val="000000"/>
                <w:sz w:val="32"/>
                <w:szCs w:val="32"/>
                <w:lang w:eastAsia="fr-FR"/>
              </w:rPr>
            </w:pPr>
            <w:r w:rsidRPr="009D0284">
              <w:rPr>
                <w:rFonts w:eastAsia="Times New Roman" w:cs="Times New Roman"/>
                <w:b/>
                <w:bCs/>
                <w:color w:val="000000"/>
                <w:sz w:val="32"/>
                <w:szCs w:val="32"/>
                <w:lang w:eastAsia="fr-FR"/>
              </w:rPr>
              <w:t>Banque Mondiale</w:t>
            </w:r>
          </w:p>
        </w:tc>
        <w:tc>
          <w:tcPr>
            <w:tcW w:w="1137" w:type="dxa"/>
            <w:tcBorders>
              <w:top w:val="nil"/>
              <w:left w:val="nil"/>
              <w:bottom w:val="nil"/>
              <w:right w:val="nil"/>
            </w:tcBorders>
            <w:shd w:val="clear" w:color="auto" w:fill="auto"/>
            <w:noWrap/>
            <w:vAlign w:val="bottom"/>
            <w:hideMark/>
          </w:tcPr>
          <w:p w14:paraId="11EDD898" w14:textId="77777777" w:rsidR="009D0284" w:rsidRPr="001A2CDA" w:rsidRDefault="009D0284" w:rsidP="009D0284">
            <w:pPr>
              <w:spacing w:after="0" w:line="240" w:lineRule="auto"/>
              <w:jc w:val="center"/>
              <w:rPr>
                <w:rFonts w:eastAsia="Times New Roman" w:cs="Times New Roman"/>
                <w:b/>
                <w:bCs/>
                <w:color w:val="000000"/>
                <w:sz w:val="40"/>
                <w:szCs w:val="40"/>
                <w:lang w:eastAsia="fr-FR"/>
              </w:rPr>
            </w:pPr>
          </w:p>
        </w:tc>
        <w:tc>
          <w:tcPr>
            <w:tcW w:w="1031" w:type="dxa"/>
            <w:tcBorders>
              <w:top w:val="nil"/>
              <w:left w:val="nil"/>
              <w:bottom w:val="nil"/>
              <w:right w:val="nil"/>
            </w:tcBorders>
            <w:shd w:val="clear" w:color="auto" w:fill="auto"/>
            <w:noWrap/>
            <w:vAlign w:val="bottom"/>
            <w:hideMark/>
          </w:tcPr>
          <w:p w14:paraId="6C9B03DA" w14:textId="77777777" w:rsidR="009D0284" w:rsidRPr="001A2CDA" w:rsidRDefault="009D0284" w:rsidP="009D0284">
            <w:pPr>
              <w:spacing w:after="0" w:line="240" w:lineRule="auto"/>
              <w:rPr>
                <w:rFonts w:eastAsia="Times New Roman" w:cs="Times New Roman"/>
                <w:szCs w:val="20"/>
                <w:lang w:eastAsia="fr-FR"/>
              </w:rPr>
            </w:pPr>
          </w:p>
        </w:tc>
        <w:tc>
          <w:tcPr>
            <w:tcW w:w="1122" w:type="dxa"/>
            <w:tcBorders>
              <w:top w:val="nil"/>
              <w:left w:val="nil"/>
              <w:bottom w:val="nil"/>
              <w:right w:val="nil"/>
            </w:tcBorders>
            <w:shd w:val="clear" w:color="auto" w:fill="auto"/>
            <w:noWrap/>
            <w:vAlign w:val="bottom"/>
            <w:hideMark/>
          </w:tcPr>
          <w:p w14:paraId="11EFAAB9" w14:textId="77777777" w:rsidR="009D0284" w:rsidRPr="001A2CDA" w:rsidRDefault="009D0284" w:rsidP="009D0284">
            <w:pPr>
              <w:spacing w:after="0" w:line="240" w:lineRule="auto"/>
              <w:rPr>
                <w:rFonts w:eastAsia="Times New Roman" w:cs="Times New Roman"/>
                <w:szCs w:val="20"/>
                <w:lang w:eastAsia="fr-FR"/>
              </w:rPr>
            </w:pPr>
          </w:p>
        </w:tc>
        <w:tc>
          <w:tcPr>
            <w:tcW w:w="985" w:type="dxa"/>
            <w:tcBorders>
              <w:top w:val="nil"/>
              <w:left w:val="nil"/>
              <w:bottom w:val="nil"/>
              <w:right w:val="nil"/>
            </w:tcBorders>
            <w:shd w:val="clear" w:color="auto" w:fill="auto"/>
            <w:noWrap/>
            <w:vAlign w:val="bottom"/>
            <w:hideMark/>
          </w:tcPr>
          <w:p w14:paraId="32753DAB" w14:textId="77777777" w:rsidR="009D0284" w:rsidRPr="001A2CDA" w:rsidRDefault="009D0284" w:rsidP="009D0284">
            <w:pPr>
              <w:spacing w:after="0" w:line="240" w:lineRule="auto"/>
              <w:rPr>
                <w:rFonts w:eastAsia="Times New Roman" w:cs="Times New Roman"/>
                <w:szCs w:val="20"/>
                <w:lang w:eastAsia="fr-FR"/>
              </w:rPr>
            </w:pPr>
          </w:p>
        </w:tc>
      </w:tr>
      <w:tr w:rsidR="009D0284" w:rsidRPr="001A2CDA" w14:paraId="047B9469" w14:textId="77777777" w:rsidTr="009D0284">
        <w:trPr>
          <w:trHeight w:val="290"/>
        </w:trPr>
        <w:tc>
          <w:tcPr>
            <w:tcW w:w="1107" w:type="dxa"/>
            <w:tcBorders>
              <w:top w:val="nil"/>
              <w:left w:val="nil"/>
              <w:bottom w:val="nil"/>
              <w:right w:val="nil"/>
            </w:tcBorders>
            <w:shd w:val="clear" w:color="auto" w:fill="auto"/>
            <w:noWrap/>
            <w:vAlign w:val="bottom"/>
            <w:hideMark/>
          </w:tcPr>
          <w:p w14:paraId="5DE12168" w14:textId="77777777" w:rsidR="009D0284" w:rsidRPr="001A2CDA" w:rsidRDefault="009D0284" w:rsidP="009D0284">
            <w:pPr>
              <w:spacing w:after="0" w:line="240" w:lineRule="auto"/>
              <w:rPr>
                <w:rFonts w:eastAsia="Times New Roman" w:cs="Times New Roman"/>
                <w:szCs w:val="20"/>
                <w:lang w:eastAsia="fr-FR"/>
              </w:rPr>
            </w:pPr>
          </w:p>
        </w:tc>
        <w:tc>
          <w:tcPr>
            <w:tcW w:w="1061" w:type="dxa"/>
            <w:tcBorders>
              <w:top w:val="nil"/>
              <w:left w:val="nil"/>
              <w:bottom w:val="nil"/>
              <w:right w:val="nil"/>
            </w:tcBorders>
            <w:shd w:val="clear" w:color="auto" w:fill="auto"/>
            <w:noWrap/>
            <w:vAlign w:val="bottom"/>
            <w:hideMark/>
          </w:tcPr>
          <w:p w14:paraId="20CB8593" w14:textId="77777777" w:rsidR="009D0284" w:rsidRPr="001A2CDA" w:rsidRDefault="009D0284" w:rsidP="009D0284">
            <w:pPr>
              <w:spacing w:after="0" w:line="240" w:lineRule="auto"/>
              <w:rPr>
                <w:rFonts w:eastAsia="Times New Roman" w:cs="Times New Roman"/>
                <w:szCs w:val="20"/>
                <w:lang w:eastAsia="fr-FR"/>
              </w:rPr>
            </w:pPr>
          </w:p>
        </w:tc>
        <w:tc>
          <w:tcPr>
            <w:tcW w:w="940" w:type="dxa"/>
            <w:tcBorders>
              <w:top w:val="nil"/>
              <w:left w:val="nil"/>
              <w:bottom w:val="nil"/>
              <w:right w:val="nil"/>
            </w:tcBorders>
            <w:shd w:val="clear" w:color="auto" w:fill="auto"/>
            <w:noWrap/>
            <w:vAlign w:val="bottom"/>
            <w:hideMark/>
          </w:tcPr>
          <w:p w14:paraId="3AD0165E" w14:textId="77777777" w:rsidR="009D0284" w:rsidRPr="001A2CDA" w:rsidRDefault="009D0284" w:rsidP="009D0284">
            <w:pPr>
              <w:spacing w:after="0" w:line="240" w:lineRule="auto"/>
              <w:rPr>
                <w:rFonts w:eastAsia="Times New Roman" w:cs="Times New Roman"/>
                <w:szCs w:val="20"/>
                <w:lang w:eastAsia="fr-FR"/>
              </w:rPr>
            </w:pPr>
          </w:p>
        </w:tc>
        <w:tc>
          <w:tcPr>
            <w:tcW w:w="1051" w:type="dxa"/>
            <w:tcBorders>
              <w:top w:val="nil"/>
              <w:left w:val="nil"/>
              <w:bottom w:val="nil"/>
              <w:right w:val="nil"/>
            </w:tcBorders>
            <w:shd w:val="clear" w:color="auto" w:fill="auto"/>
            <w:noWrap/>
            <w:vAlign w:val="bottom"/>
            <w:hideMark/>
          </w:tcPr>
          <w:p w14:paraId="5BF6F64E" w14:textId="77777777" w:rsidR="009D0284" w:rsidRPr="001A2CDA" w:rsidRDefault="009D0284" w:rsidP="009D0284">
            <w:pPr>
              <w:spacing w:after="0" w:line="240" w:lineRule="auto"/>
              <w:rPr>
                <w:rFonts w:eastAsia="Times New Roman" w:cs="Times New Roman"/>
                <w:szCs w:val="20"/>
                <w:lang w:eastAsia="fr-FR"/>
              </w:rPr>
            </w:pPr>
          </w:p>
        </w:tc>
        <w:tc>
          <w:tcPr>
            <w:tcW w:w="1051" w:type="dxa"/>
            <w:tcBorders>
              <w:top w:val="nil"/>
              <w:left w:val="nil"/>
              <w:bottom w:val="nil"/>
              <w:right w:val="nil"/>
            </w:tcBorders>
            <w:shd w:val="clear" w:color="auto" w:fill="auto"/>
            <w:noWrap/>
            <w:vAlign w:val="bottom"/>
            <w:hideMark/>
          </w:tcPr>
          <w:p w14:paraId="2C53E63A" w14:textId="77777777" w:rsidR="009D0284" w:rsidRPr="001A2CDA" w:rsidRDefault="009D0284" w:rsidP="009D0284">
            <w:pPr>
              <w:spacing w:after="0" w:line="240" w:lineRule="auto"/>
              <w:rPr>
                <w:rFonts w:eastAsia="Times New Roman" w:cs="Times New Roman"/>
                <w:szCs w:val="20"/>
                <w:lang w:eastAsia="fr-FR"/>
              </w:rPr>
            </w:pPr>
          </w:p>
        </w:tc>
        <w:tc>
          <w:tcPr>
            <w:tcW w:w="1052" w:type="dxa"/>
            <w:tcBorders>
              <w:top w:val="nil"/>
              <w:left w:val="nil"/>
              <w:bottom w:val="nil"/>
              <w:right w:val="nil"/>
            </w:tcBorders>
            <w:shd w:val="clear" w:color="auto" w:fill="auto"/>
            <w:noWrap/>
            <w:vAlign w:val="bottom"/>
            <w:hideMark/>
          </w:tcPr>
          <w:p w14:paraId="29B41B62" w14:textId="77777777" w:rsidR="009D0284" w:rsidRPr="001A2CDA" w:rsidRDefault="009D0284" w:rsidP="009D0284">
            <w:pPr>
              <w:spacing w:after="0" w:line="240" w:lineRule="auto"/>
              <w:rPr>
                <w:rFonts w:eastAsia="Times New Roman" w:cs="Times New Roman"/>
                <w:szCs w:val="20"/>
                <w:lang w:eastAsia="fr-FR"/>
              </w:rPr>
            </w:pPr>
          </w:p>
        </w:tc>
        <w:tc>
          <w:tcPr>
            <w:tcW w:w="1137" w:type="dxa"/>
            <w:tcBorders>
              <w:top w:val="nil"/>
              <w:left w:val="nil"/>
              <w:bottom w:val="nil"/>
              <w:right w:val="nil"/>
            </w:tcBorders>
            <w:shd w:val="clear" w:color="auto" w:fill="auto"/>
            <w:noWrap/>
            <w:vAlign w:val="bottom"/>
            <w:hideMark/>
          </w:tcPr>
          <w:p w14:paraId="7D8B500C" w14:textId="77777777" w:rsidR="009D0284" w:rsidRPr="001A2CDA" w:rsidRDefault="009D0284" w:rsidP="009D0284">
            <w:pPr>
              <w:spacing w:after="0" w:line="240" w:lineRule="auto"/>
              <w:rPr>
                <w:rFonts w:eastAsia="Times New Roman" w:cs="Times New Roman"/>
                <w:szCs w:val="20"/>
                <w:lang w:eastAsia="fr-FR"/>
              </w:rPr>
            </w:pPr>
          </w:p>
        </w:tc>
        <w:tc>
          <w:tcPr>
            <w:tcW w:w="1031" w:type="dxa"/>
            <w:tcBorders>
              <w:top w:val="nil"/>
              <w:left w:val="nil"/>
              <w:bottom w:val="nil"/>
              <w:right w:val="nil"/>
            </w:tcBorders>
            <w:shd w:val="clear" w:color="auto" w:fill="auto"/>
            <w:noWrap/>
            <w:vAlign w:val="bottom"/>
            <w:hideMark/>
          </w:tcPr>
          <w:p w14:paraId="648AC735" w14:textId="77777777" w:rsidR="009D0284" w:rsidRPr="001A2CDA" w:rsidRDefault="009D0284" w:rsidP="009D0284">
            <w:pPr>
              <w:spacing w:after="0" w:line="240" w:lineRule="auto"/>
              <w:rPr>
                <w:rFonts w:eastAsia="Times New Roman" w:cs="Times New Roman"/>
                <w:szCs w:val="20"/>
                <w:lang w:eastAsia="fr-FR"/>
              </w:rPr>
            </w:pPr>
          </w:p>
        </w:tc>
        <w:tc>
          <w:tcPr>
            <w:tcW w:w="1122" w:type="dxa"/>
            <w:tcBorders>
              <w:top w:val="nil"/>
              <w:left w:val="nil"/>
              <w:bottom w:val="nil"/>
              <w:right w:val="nil"/>
            </w:tcBorders>
            <w:shd w:val="clear" w:color="auto" w:fill="auto"/>
            <w:noWrap/>
            <w:vAlign w:val="bottom"/>
            <w:hideMark/>
          </w:tcPr>
          <w:p w14:paraId="3B0916FE" w14:textId="77777777" w:rsidR="009D0284" w:rsidRPr="001A2CDA" w:rsidRDefault="009D0284" w:rsidP="009D0284">
            <w:pPr>
              <w:spacing w:after="0" w:line="240" w:lineRule="auto"/>
              <w:rPr>
                <w:rFonts w:eastAsia="Times New Roman" w:cs="Times New Roman"/>
                <w:szCs w:val="20"/>
                <w:lang w:eastAsia="fr-FR"/>
              </w:rPr>
            </w:pPr>
          </w:p>
        </w:tc>
        <w:tc>
          <w:tcPr>
            <w:tcW w:w="985" w:type="dxa"/>
            <w:tcBorders>
              <w:top w:val="nil"/>
              <w:left w:val="nil"/>
              <w:bottom w:val="nil"/>
              <w:right w:val="nil"/>
            </w:tcBorders>
            <w:shd w:val="clear" w:color="auto" w:fill="auto"/>
            <w:noWrap/>
            <w:vAlign w:val="bottom"/>
            <w:hideMark/>
          </w:tcPr>
          <w:p w14:paraId="66C3E6D6" w14:textId="77777777" w:rsidR="009D0284" w:rsidRPr="001A2CDA" w:rsidRDefault="009D0284" w:rsidP="009D0284">
            <w:pPr>
              <w:spacing w:after="0" w:line="240" w:lineRule="auto"/>
              <w:rPr>
                <w:rFonts w:eastAsia="Times New Roman" w:cs="Times New Roman"/>
                <w:szCs w:val="20"/>
                <w:lang w:eastAsia="fr-FR"/>
              </w:rPr>
            </w:pPr>
          </w:p>
        </w:tc>
      </w:tr>
      <w:tr w:rsidR="009D0284" w:rsidRPr="001A2CDA" w14:paraId="7418AF17" w14:textId="77777777" w:rsidTr="009D0284">
        <w:trPr>
          <w:trHeight w:val="302"/>
        </w:trPr>
        <w:tc>
          <w:tcPr>
            <w:tcW w:w="2168" w:type="dxa"/>
            <w:gridSpan w:val="2"/>
            <w:tcBorders>
              <w:top w:val="single" w:sz="8" w:space="0" w:color="auto"/>
              <w:left w:val="single" w:sz="8" w:space="0" w:color="auto"/>
              <w:bottom w:val="single" w:sz="4" w:space="0" w:color="auto"/>
              <w:right w:val="single" w:sz="4" w:space="0" w:color="auto"/>
            </w:tcBorders>
            <w:shd w:val="clear" w:color="000000" w:fill="00B050"/>
            <w:noWrap/>
            <w:vAlign w:val="center"/>
            <w:hideMark/>
          </w:tcPr>
          <w:p w14:paraId="13F92C81"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Faible</w:t>
            </w:r>
          </w:p>
        </w:tc>
        <w:tc>
          <w:tcPr>
            <w:tcW w:w="1991" w:type="dxa"/>
            <w:gridSpan w:val="2"/>
            <w:tcBorders>
              <w:top w:val="single" w:sz="8" w:space="0" w:color="auto"/>
              <w:left w:val="nil"/>
              <w:bottom w:val="single" w:sz="4" w:space="0" w:color="auto"/>
              <w:right w:val="single" w:sz="4" w:space="0" w:color="auto"/>
            </w:tcBorders>
            <w:shd w:val="clear" w:color="000000" w:fill="92D050"/>
            <w:noWrap/>
            <w:vAlign w:val="center"/>
            <w:hideMark/>
          </w:tcPr>
          <w:p w14:paraId="592D18B8"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Moyennement faible</w:t>
            </w:r>
          </w:p>
        </w:tc>
        <w:tc>
          <w:tcPr>
            <w:tcW w:w="2103" w:type="dxa"/>
            <w:gridSpan w:val="2"/>
            <w:tcBorders>
              <w:top w:val="single" w:sz="8" w:space="0" w:color="auto"/>
              <w:left w:val="nil"/>
              <w:bottom w:val="single" w:sz="4" w:space="0" w:color="auto"/>
              <w:right w:val="single" w:sz="4" w:space="0" w:color="auto"/>
            </w:tcBorders>
            <w:shd w:val="clear" w:color="000000" w:fill="FFFF00"/>
            <w:noWrap/>
            <w:vAlign w:val="center"/>
            <w:hideMark/>
          </w:tcPr>
          <w:p w14:paraId="321A2C1A"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Moyen</w:t>
            </w:r>
          </w:p>
        </w:tc>
        <w:tc>
          <w:tcPr>
            <w:tcW w:w="2168" w:type="dxa"/>
            <w:gridSpan w:val="2"/>
            <w:tcBorders>
              <w:top w:val="single" w:sz="8" w:space="0" w:color="auto"/>
              <w:left w:val="nil"/>
              <w:bottom w:val="single" w:sz="4" w:space="0" w:color="auto"/>
              <w:right w:val="single" w:sz="4" w:space="0" w:color="auto"/>
            </w:tcBorders>
            <w:shd w:val="clear" w:color="000000" w:fill="FFC000"/>
            <w:noWrap/>
            <w:vAlign w:val="center"/>
            <w:hideMark/>
          </w:tcPr>
          <w:p w14:paraId="311AB272"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Moyennement élevé</w:t>
            </w:r>
          </w:p>
        </w:tc>
        <w:tc>
          <w:tcPr>
            <w:tcW w:w="2107" w:type="dxa"/>
            <w:gridSpan w:val="2"/>
            <w:tcBorders>
              <w:top w:val="single" w:sz="8" w:space="0" w:color="auto"/>
              <w:left w:val="nil"/>
              <w:bottom w:val="single" w:sz="4" w:space="0" w:color="auto"/>
              <w:right w:val="single" w:sz="8" w:space="0" w:color="000000"/>
            </w:tcBorders>
            <w:shd w:val="clear" w:color="000000" w:fill="FF0000"/>
            <w:noWrap/>
            <w:vAlign w:val="center"/>
            <w:hideMark/>
          </w:tcPr>
          <w:p w14:paraId="683C8073"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Élevé</w:t>
            </w:r>
          </w:p>
        </w:tc>
      </w:tr>
      <w:tr w:rsidR="009D0284" w:rsidRPr="001A2CDA" w14:paraId="4301ABC1" w14:textId="77777777" w:rsidTr="009D0284">
        <w:trPr>
          <w:trHeight w:val="313"/>
        </w:trPr>
        <w:tc>
          <w:tcPr>
            <w:tcW w:w="1107" w:type="dxa"/>
            <w:tcBorders>
              <w:top w:val="nil"/>
              <w:left w:val="single" w:sz="8" w:space="0" w:color="auto"/>
              <w:bottom w:val="single" w:sz="8" w:space="0" w:color="auto"/>
              <w:right w:val="single" w:sz="4" w:space="0" w:color="auto"/>
            </w:tcBorders>
            <w:shd w:val="clear" w:color="auto" w:fill="auto"/>
            <w:noWrap/>
            <w:vAlign w:val="bottom"/>
            <w:hideMark/>
          </w:tcPr>
          <w:p w14:paraId="7201F419"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0,1</w:t>
            </w:r>
          </w:p>
        </w:tc>
        <w:tc>
          <w:tcPr>
            <w:tcW w:w="1061" w:type="dxa"/>
            <w:tcBorders>
              <w:top w:val="nil"/>
              <w:left w:val="nil"/>
              <w:bottom w:val="single" w:sz="8" w:space="0" w:color="auto"/>
              <w:right w:val="single" w:sz="4" w:space="0" w:color="auto"/>
            </w:tcBorders>
            <w:shd w:val="clear" w:color="auto" w:fill="auto"/>
            <w:noWrap/>
            <w:vAlign w:val="bottom"/>
            <w:hideMark/>
          </w:tcPr>
          <w:p w14:paraId="4FFE4EE7"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0,2</w:t>
            </w:r>
          </w:p>
        </w:tc>
        <w:tc>
          <w:tcPr>
            <w:tcW w:w="940" w:type="dxa"/>
            <w:tcBorders>
              <w:top w:val="nil"/>
              <w:left w:val="nil"/>
              <w:bottom w:val="single" w:sz="8" w:space="0" w:color="auto"/>
              <w:right w:val="single" w:sz="4" w:space="0" w:color="auto"/>
            </w:tcBorders>
            <w:shd w:val="clear" w:color="auto" w:fill="auto"/>
            <w:noWrap/>
            <w:vAlign w:val="bottom"/>
            <w:hideMark/>
          </w:tcPr>
          <w:p w14:paraId="6A25DC71"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0,3</w:t>
            </w:r>
          </w:p>
        </w:tc>
        <w:tc>
          <w:tcPr>
            <w:tcW w:w="1051" w:type="dxa"/>
            <w:tcBorders>
              <w:top w:val="nil"/>
              <w:left w:val="nil"/>
              <w:bottom w:val="single" w:sz="8" w:space="0" w:color="auto"/>
              <w:right w:val="single" w:sz="4" w:space="0" w:color="auto"/>
            </w:tcBorders>
            <w:shd w:val="clear" w:color="auto" w:fill="auto"/>
            <w:noWrap/>
            <w:vAlign w:val="bottom"/>
            <w:hideMark/>
          </w:tcPr>
          <w:p w14:paraId="4986C3CD"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0,4</w:t>
            </w:r>
          </w:p>
        </w:tc>
        <w:tc>
          <w:tcPr>
            <w:tcW w:w="1051" w:type="dxa"/>
            <w:tcBorders>
              <w:top w:val="nil"/>
              <w:left w:val="nil"/>
              <w:bottom w:val="single" w:sz="8" w:space="0" w:color="auto"/>
              <w:right w:val="single" w:sz="4" w:space="0" w:color="auto"/>
            </w:tcBorders>
            <w:shd w:val="clear" w:color="auto" w:fill="auto"/>
            <w:noWrap/>
            <w:vAlign w:val="bottom"/>
            <w:hideMark/>
          </w:tcPr>
          <w:p w14:paraId="521266C3"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0,5</w:t>
            </w:r>
          </w:p>
        </w:tc>
        <w:tc>
          <w:tcPr>
            <w:tcW w:w="1052" w:type="dxa"/>
            <w:tcBorders>
              <w:top w:val="nil"/>
              <w:left w:val="nil"/>
              <w:bottom w:val="single" w:sz="8" w:space="0" w:color="auto"/>
              <w:right w:val="single" w:sz="4" w:space="0" w:color="auto"/>
            </w:tcBorders>
            <w:shd w:val="clear" w:color="auto" w:fill="auto"/>
            <w:noWrap/>
            <w:vAlign w:val="bottom"/>
            <w:hideMark/>
          </w:tcPr>
          <w:p w14:paraId="26FD3822"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0,6</w:t>
            </w:r>
          </w:p>
        </w:tc>
        <w:tc>
          <w:tcPr>
            <w:tcW w:w="1137" w:type="dxa"/>
            <w:tcBorders>
              <w:top w:val="nil"/>
              <w:left w:val="nil"/>
              <w:bottom w:val="single" w:sz="8" w:space="0" w:color="auto"/>
              <w:right w:val="single" w:sz="4" w:space="0" w:color="auto"/>
            </w:tcBorders>
            <w:shd w:val="clear" w:color="auto" w:fill="auto"/>
            <w:noWrap/>
            <w:vAlign w:val="bottom"/>
            <w:hideMark/>
          </w:tcPr>
          <w:p w14:paraId="5B5F3C67"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0,7</w:t>
            </w:r>
          </w:p>
        </w:tc>
        <w:tc>
          <w:tcPr>
            <w:tcW w:w="1031" w:type="dxa"/>
            <w:tcBorders>
              <w:top w:val="nil"/>
              <w:left w:val="nil"/>
              <w:bottom w:val="single" w:sz="8" w:space="0" w:color="auto"/>
              <w:right w:val="single" w:sz="4" w:space="0" w:color="auto"/>
            </w:tcBorders>
            <w:shd w:val="clear" w:color="auto" w:fill="auto"/>
            <w:noWrap/>
            <w:vAlign w:val="bottom"/>
            <w:hideMark/>
          </w:tcPr>
          <w:p w14:paraId="6F9D2344"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0,8</w:t>
            </w:r>
          </w:p>
        </w:tc>
        <w:tc>
          <w:tcPr>
            <w:tcW w:w="1122" w:type="dxa"/>
            <w:tcBorders>
              <w:top w:val="nil"/>
              <w:left w:val="nil"/>
              <w:bottom w:val="single" w:sz="8" w:space="0" w:color="auto"/>
              <w:right w:val="single" w:sz="4" w:space="0" w:color="auto"/>
            </w:tcBorders>
            <w:shd w:val="clear" w:color="auto" w:fill="auto"/>
            <w:noWrap/>
            <w:vAlign w:val="bottom"/>
            <w:hideMark/>
          </w:tcPr>
          <w:p w14:paraId="7A5EDE76"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0,9</w:t>
            </w:r>
          </w:p>
        </w:tc>
        <w:tc>
          <w:tcPr>
            <w:tcW w:w="985" w:type="dxa"/>
            <w:tcBorders>
              <w:top w:val="nil"/>
              <w:left w:val="nil"/>
              <w:bottom w:val="single" w:sz="8" w:space="0" w:color="auto"/>
              <w:right w:val="single" w:sz="8" w:space="0" w:color="auto"/>
            </w:tcBorders>
            <w:shd w:val="clear" w:color="auto" w:fill="auto"/>
            <w:noWrap/>
            <w:vAlign w:val="bottom"/>
            <w:hideMark/>
          </w:tcPr>
          <w:p w14:paraId="24895153"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1</w:t>
            </w:r>
          </w:p>
        </w:tc>
      </w:tr>
      <w:tr w:rsidR="009D0284" w:rsidRPr="001A2CDA" w14:paraId="4140BAE1" w14:textId="77777777" w:rsidTr="009D0284">
        <w:trPr>
          <w:trHeight w:val="383"/>
        </w:trPr>
        <w:tc>
          <w:tcPr>
            <w:tcW w:w="1107" w:type="dxa"/>
            <w:tcBorders>
              <w:top w:val="nil"/>
              <w:left w:val="nil"/>
              <w:bottom w:val="nil"/>
              <w:right w:val="nil"/>
            </w:tcBorders>
            <w:shd w:val="clear" w:color="auto" w:fill="auto"/>
            <w:noWrap/>
            <w:vAlign w:val="bottom"/>
            <w:hideMark/>
          </w:tcPr>
          <w:p w14:paraId="3226D358"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p>
        </w:tc>
        <w:tc>
          <w:tcPr>
            <w:tcW w:w="1061" w:type="dxa"/>
            <w:tcBorders>
              <w:top w:val="nil"/>
              <w:left w:val="nil"/>
              <w:bottom w:val="nil"/>
              <w:right w:val="nil"/>
            </w:tcBorders>
            <w:shd w:val="clear" w:color="auto" w:fill="auto"/>
            <w:noWrap/>
            <w:vAlign w:val="bottom"/>
            <w:hideMark/>
          </w:tcPr>
          <w:p w14:paraId="1686B4B5" w14:textId="77777777" w:rsidR="009D0284" w:rsidRPr="001A2CDA" w:rsidRDefault="009D0284" w:rsidP="009D0284">
            <w:pPr>
              <w:spacing w:after="0" w:line="240" w:lineRule="auto"/>
              <w:jc w:val="center"/>
              <w:rPr>
                <w:rFonts w:eastAsia="Times New Roman" w:cs="Times New Roman"/>
                <w:szCs w:val="20"/>
                <w:lang w:eastAsia="fr-FR"/>
              </w:rPr>
            </w:pPr>
          </w:p>
        </w:tc>
        <w:tc>
          <w:tcPr>
            <w:tcW w:w="940" w:type="dxa"/>
            <w:tcBorders>
              <w:top w:val="nil"/>
              <w:left w:val="nil"/>
              <w:bottom w:val="nil"/>
              <w:right w:val="nil"/>
            </w:tcBorders>
            <w:shd w:val="clear" w:color="auto" w:fill="auto"/>
            <w:noWrap/>
            <w:vAlign w:val="bottom"/>
            <w:hideMark/>
          </w:tcPr>
          <w:p w14:paraId="48CF4025" w14:textId="77777777" w:rsidR="009D0284" w:rsidRPr="001A2CDA" w:rsidRDefault="009D0284" w:rsidP="009D0284">
            <w:pPr>
              <w:spacing w:after="0" w:line="240" w:lineRule="auto"/>
              <w:jc w:val="center"/>
              <w:rPr>
                <w:rFonts w:eastAsia="Times New Roman" w:cs="Times New Roman"/>
                <w:szCs w:val="20"/>
                <w:lang w:eastAsia="fr-FR"/>
              </w:rPr>
            </w:pPr>
          </w:p>
        </w:tc>
        <w:tc>
          <w:tcPr>
            <w:tcW w:w="1051" w:type="dxa"/>
            <w:tcBorders>
              <w:top w:val="nil"/>
              <w:left w:val="nil"/>
              <w:bottom w:val="nil"/>
              <w:right w:val="nil"/>
            </w:tcBorders>
            <w:shd w:val="clear" w:color="auto" w:fill="auto"/>
            <w:noWrap/>
            <w:vAlign w:val="bottom"/>
            <w:hideMark/>
          </w:tcPr>
          <w:p w14:paraId="51DCB4B7" w14:textId="77777777" w:rsidR="009D0284" w:rsidRPr="001A2CDA" w:rsidRDefault="009D0284" w:rsidP="009D0284">
            <w:pPr>
              <w:spacing w:after="0" w:line="240" w:lineRule="auto"/>
              <w:jc w:val="center"/>
              <w:rPr>
                <w:rFonts w:eastAsia="Times New Roman" w:cs="Times New Roman"/>
                <w:szCs w:val="20"/>
                <w:lang w:eastAsia="fr-FR"/>
              </w:rPr>
            </w:pPr>
          </w:p>
        </w:tc>
        <w:tc>
          <w:tcPr>
            <w:tcW w:w="1051" w:type="dxa"/>
            <w:tcBorders>
              <w:top w:val="nil"/>
              <w:left w:val="nil"/>
              <w:bottom w:val="nil"/>
              <w:right w:val="nil"/>
            </w:tcBorders>
            <w:shd w:val="clear" w:color="auto" w:fill="auto"/>
            <w:noWrap/>
            <w:vAlign w:val="bottom"/>
            <w:hideMark/>
          </w:tcPr>
          <w:p w14:paraId="1B0DB231" w14:textId="77777777" w:rsidR="009D0284" w:rsidRPr="001A2CDA" w:rsidRDefault="009D0284" w:rsidP="009D0284">
            <w:pPr>
              <w:spacing w:after="0" w:line="240" w:lineRule="auto"/>
              <w:jc w:val="center"/>
              <w:rPr>
                <w:rFonts w:eastAsia="Times New Roman" w:cs="Times New Roman"/>
                <w:szCs w:val="20"/>
                <w:lang w:eastAsia="fr-FR"/>
              </w:rPr>
            </w:pPr>
          </w:p>
        </w:tc>
        <w:tc>
          <w:tcPr>
            <w:tcW w:w="1052" w:type="dxa"/>
            <w:tcBorders>
              <w:top w:val="nil"/>
              <w:left w:val="nil"/>
              <w:bottom w:val="nil"/>
              <w:right w:val="nil"/>
            </w:tcBorders>
            <w:shd w:val="clear" w:color="auto" w:fill="auto"/>
            <w:noWrap/>
            <w:vAlign w:val="bottom"/>
            <w:hideMark/>
          </w:tcPr>
          <w:p w14:paraId="7779AFE1" w14:textId="77777777" w:rsidR="009D0284" w:rsidRPr="001A2CDA" w:rsidRDefault="009D0284" w:rsidP="009D0284">
            <w:pPr>
              <w:spacing w:after="0" w:line="240" w:lineRule="auto"/>
              <w:jc w:val="center"/>
              <w:rPr>
                <w:rFonts w:eastAsia="Times New Roman" w:cs="Times New Roman"/>
                <w:szCs w:val="20"/>
                <w:lang w:eastAsia="fr-FR"/>
              </w:rPr>
            </w:pPr>
          </w:p>
        </w:tc>
        <w:tc>
          <w:tcPr>
            <w:tcW w:w="1137" w:type="dxa"/>
            <w:tcBorders>
              <w:top w:val="nil"/>
              <w:left w:val="nil"/>
              <w:bottom w:val="nil"/>
              <w:right w:val="nil"/>
            </w:tcBorders>
            <w:shd w:val="clear" w:color="auto" w:fill="auto"/>
            <w:noWrap/>
            <w:vAlign w:val="bottom"/>
            <w:hideMark/>
          </w:tcPr>
          <w:p w14:paraId="125D3FC8" w14:textId="77777777" w:rsidR="009D0284" w:rsidRPr="001A2CDA" w:rsidRDefault="009D0284" w:rsidP="009D0284">
            <w:pPr>
              <w:spacing w:after="0" w:line="240" w:lineRule="auto"/>
              <w:jc w:val="center"/>
              <w:rPr>
                <w:rFonts w:eastAsia="Times New Roman" w:cs="Times New Roman"/>
                <w:szCs w:val="20"/>
                <w:lang w:eastAsia="fr-FR"/>
              </w:rPr>
            </w:pPr>
          </w:p>
        </w:tc>
        <w:tc>
          <w:tcPr>
            <w:tcW w:w="1031" w:type="dxa"/>
            <w:tcBorders>
              <w:top w:val="nil"/>
              <w:left w:val="nil"/>
              <w:bottom w:val="nil"/>
              <w:right w:val="nil"/>
            </w:tcBorders>
            <w:shd w:val="clear" w:color="auto" w:fill="auto"/>
            <w:noWrap/>
            <w:vAlign w:val="bottom"/>
            <w:hideMark/>
          </w:tcPr>
          <w:p w14:paraId="1E6484A5" w14:textId="77777777" w:rsidR="009D0284" w:rsidRPr="001A2CDA" w:rsidRDefault="009D0284" w:rsidP="009D0284">
            <w:pPr>
              <w:spacing w:after="0" w:line="240" w:lineRule="auto"/>
              <w:jc w:val="center"/>
              <w:rPr>
                <w:rFonts w:eastAsia="Times New Roman" w:cs="Times New Roman"/>
                <w:szCs w:val="20"/>
                <w:lang w:eastAsia="fr-FR"/>
              </w:rPr>
            </w:pPr>
          </w:p>
        </w:tc>
        <w:tc>
          <w:tcPr>
            <w:tcW w:w="1122" w:type="dxa"/>
            <w:tcBorders>
              <w:top w:val="nil"/>
              <w:left w:val="nil"/>
              <w:bottom w:val="nil"/>
              <w:right w:val="nil"/>
            </w:tcBorders>
            <w:shd w:val="clear" w:color="auto" w:fill="auto"/>
            <w:noWrap/>
            <w:vAlign w:val="bottom"/>
            <w:hideMark/>
          </w:tcPr>
          <w:p w14:paraId="11416F22" w14:textId="77777777" w:rsidR="009D0284" w:rsidRPr="001A2CDA" w:rsidRDefault="009D0284" w:rsidP="009D0284">
            <w:pPr>
              <w:spacing w:after="0" w:line="240" w:lineRule="auto"/>
              <w:jc w:val="center"/>
              <w:rPr>
                <w:rFonts w:eastAsia="Times New Roman" w:cs="Times New Roman"/>
                <w:szCs w:val="20"/>
                <w:lang w:eastAsia="fr-FR"/>
              </w:rPr>
            </w:pPr>
          </w:p>
        </w:tc>
        <w:tc>
          <w:tcPr>
            <w:tcW w:w="985" w:type="dxa"/>
            <w:tcBorders>
              <w:top w:val="nil"/>
              <w:left w:val="nil"/>
              <w:bottom w:val="nil"/>
              <w:right w:val="nil"/>
            </w:tcBorders>
            <w:shd w:val="clear" w:color="auto" w:fill="auto"/>
            <w:noWrap/>
            <w:vAlign w:val="bottom"/>
            <w:hideMark/>
          </w:tcPr>
          <w:p w14:paraId="16511FE1" w14:textId="77777777" w:rsidR="009D0284" w:rsidRPr="001A2CDA" w:rsidRDefault="009D0284" w:rsidP="009D0284">
            <w:pPr>
              <w:spacing w:after="0" w:line="240" w:lineRule="auto"/>
              <w:jc w:val="center"/>
              <w:rPr>
                <w:rFonts w:eastAsia="Times New Roman" w:cs="Times New Roman"/>
                <w:szCs w:val="20"/>
                <w:lang w:eastAsia="fr-FR"/>
              </w:rPr>
            </w:pPr>
          </w:p>
        </w:tc>
      </w:tr>
      <w:tr w:rsidR="009D0284" w:rsidRPr="001A2CDA" w14:paraId="064638ED" w14:textId="77777777" w:rsidTr="009D0284">
        <w:trPr>
          <w:trHeight w:val="487"/>
        </w:trPr>
        <w:tc>
          <w:tcPr>
            <w:tcW w:w="1107" w:type="dxa"/>
            <w:tcBorders>
              <w:top w:val="nil"/>
              <w:left w:val="nil"/>
              <w:bottom w:val="nil"/>
              <w:right w:val="nil"/>
            </w:tcBorders>
            <w:shd w:val="clear" w:color="auto" w:fill="auto"/>
            <w:noWrap/>
            <w:vAlign w:val="bottom"/>
            <w:hideMark/>
          </w:tcPr>
          <w:p w14:paraId="6B4E0FCB" w14:textId="77777777" w:rsidR="009D0284" w:rsidRPr="001A2CDA" w:rsidRDefault="009D0284" w:rsidP="009D0284">
            <w:pPr>
              <w:spacing w:after="0" w:line="240" w:lineRule="auto"/>
              <w:jc w:val="center"/>
              <w:rPr>
                <w:rFonts w:eastAsia="Times New Roman" w:cs="Times New Roman"/>
                <w:szCs w:val="20"/>
                <w:lang w:eastAsia="fr-FR"/>
              </w:rPr>
            </w:pPr>
          </w:p>
        </w:tc>
        <w:tc>
          <w:tcPr>
            <w:tcW w:w="1061" w:type="dxa"/>
            <w:tcBorders>
              <w:top w:val="nil"/>
              <w:left w:val="nil"/>
              <w:bottom w:val="nil"/>
              <w:right w:val="nil"/>
            </w:tcBorders>
            <w:shd w:val="clear" w:color="auto" w:fill="auto"/>
            <w:noWrap/>
            <w:vAlign w:val="bottom"/>
            <w:hideMark/>
          </w:tcPr>
          <w:p w14:paraId="2CC0D895" w14:textId="77777777" w:rsidR="009D0284" w:rsidRPr="001A2CDA" w:rsidRDefault="009D0284" w:rsidP="009D0284">
            <w:pPr>
              <w:spacing w:after="0" w:line="240" w:lineRule="auto"/>
              <w:jc w:val="center"/>
              <w:rPr>
                <w:rFonts w:eastAsia="Times New Roman" w:cs="Times New Roman"/>
                <w:szCs w:val="20"/>
                <w:lang w:eastAsia="fr-FR"/>
              </w:rPr>
            </w:pPr>
          </w:p>
        </w:tc>
        <w:tc>
          <w:tcPr>
            <w:tcW w:w="940" w:type="dxa"/>
            <w:tcBorders>
              <w:top w:val="nil"/>
              <w:left w:val="nil"/>
              <w:bottom w:val="nil"/>
              <w:right w:val="nil"/>
            </w:tcBorders>
            <w:shd w:val="clear" w:color="auto" w:fill="auto"/>
            <w:noWrap/>
            <w:vAlign w:val="bottom"/>
            <w:hideMark/>
          </w:tcPr>
          <w:p w14:paraId="7D418D17" w14:textId="77777777" w:rsidR="009D0284" w:rsidRPr="001A2CDA" w:rsidRDefault="009D0284" w:rsidP="009D0284">
            <w:pPr>
              <w:spacing w:after="0" w:line="240" w:lineRule="auto"/>
              <w:jc w:val="center"/>
              <w:rPr>
                <w:rFonts w:eastAsia="Times New Roman" w:cs="Times New Roman"/>
                <w:szCs w:val="20"/>
                <w:lang w:eastAsia="fr-FR"/>
              </w:rPr>
            </w:pPr>
          </w:p>
        </w:tc>
        <w:tc>
          <w:tcPr>
            <w:tcW w:w="3154" w:type="dxa"/>
            <w:gridSpan w:val="3"/>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56CE97B3" w14:textId="77777777" w:rsidR="009D0284" w:rsidRPr="001A2CDA" w:rsidRDefault="009D0284" w:rsidP="009D0284">
            <w:pPr>
              <w:spacing w:after="0" w:line="240" w:lineRule="auto"/>
              <w:jc w:val="center"/>
              <w:rPr>
                <w:rFonts w:eastAsia="Times New Roman" w:cs="Times New Roman"/>
                <w:b/>
                <w:bCs/>
                <w:color w:val="000000"/>
                <w:sz w:val="40"/>
                <w:szCs w:val="40"/>
                <w:lang w:eastAsia="fr-FR"/>
              </w:rPr>
            </w:pPr>
            <w:r w:rsidRPr="009D0284">
              <w:rPr>
                <w:rFonts w:eastAsia="Times New Roman" w:cs="Times New Roman"/>
                <w:b/>
                <w:bCs/>
                <w:color w:val="000000"/>
                <w:sz w:val="32"/>
                <w:szCs w:val="32"/>
                <w:lang w:eastAsia="fr-FR"/>
              </w:rPr>
              <w:t>Méthodologie MNC</w:t>
            </w:r>
          </w:p>
        </w:tc>
        <w:tc>
          <w:tcPr>
            <w:tcW w:w="1137" w:type="dxa"/>
            <w:tcBorders>
              <w:top w:val="nil"/>
              <w:left w:val="nil"/>
              <w:bottom w:val="nil"/>
              <w:right w:val="nil"/>
            </w:tcBorders>
            <w:shd w:val="clear" w:color="auto" w:fill="auto"/>
            <w:noWrap/>
            <w:vAlign w:val="bottom"/>
            <w:hideMark/>
          </w:tcPr>
          <w:p w14:paraId="4E9EA10B" w14:textId="77777777" w:rsidR="009D0284" w:rsidRPr="001A2CDA" w:rsidRDefault="009D0284" w:rsidP="009D0284">
            <w:pPr>
              <w:spacing w:after="0" w:line="240" w:lineRule="auto"/>
              <w:jc w:val="center"/>
              <w:rPr>
                <w:rFonts w:eastAsia="Times New Roman" w:cs="Times New Roman"/>
                <w:b/>
                <w:bCs/>
                <w:color w:val="000000"/>
                <w:sz w:val="40"/>
                <w:szCs w:val="40"/>
                <w:lang w:eastAsia="fr-FR"/>
              </w:rPr>
            </w:pPr>
          </w:p>
        </w:tc>
        <w:tc>
          <w:tcPr>
            <w:tcW w:w="1031" w:type="dxa"/>
            <w:tcBorders>
              <w:top w:val="nil"/>
              <w:left w:val="nil"/>
              <w:bottom w:val="nil"/>
              <w:right w:val="nil"/>
            </w:tcBorders>
            <w:shd w:val="clear" w:color="auto" w:fill="auto"/>
            <w:noWrap/>
            <w:vAlign w:val="bottom"/>
            <w:hideMark/>
          </w:tcPr>
          <w:p w14:paraId="3694F5DE" w14:textId="77777777" w:rsidR="009D0284" w:rsidRPr="001A2CDA" w:rsidRDefault="009D0284" w:rsidP="009D0284">
            <w:pPr>
              <w:spacing w:after="0" w:line="240" w:lineRule="auto"/>
              <w:jc w:val="center"/>
              <w:rPr>
                <w:rFonts w:eastAsia="Times New Roman" w:cs="Times New Roman"/>
                <w:szCs w:val="20"/>
                <w:lang w:eastAsia="fr-FR"/>
              </w:rPr>
            </w:pPr>
          </w:p>
        </w:tc>
        <w:tc>
          <w:tcPr>
            <w:tcW w:w="1122" w:type="dxa"/>
            <w:tcBorders>
              <w:top w:val="nil"/>
              <w:left w:val="nil"/>
              <w:bottom w:val="nil"/>
              <w:right w:val="nil"/>
            </w:tcBorders>
            <w:shd w:val="clear" w:color="auto" w:fill="auto"/>
            <w:noWrap/>
            <w:vAlign w:val="bottom"/>
            <w:hideMark/>
          </w:tcPr>
          <w:p w14:paraId="0BA91B72" w14:textId="77777777" w:rsidR="009D0284" w:rsidRPr="001A2CDA" w:rsidRDefault="009D0284" w:rsidP="009D0284">
            <w:pPr>
              <w:spacing w:after="0" w:line="240" w:lineRule="auto"/>
              <w:jc w:val="center"/>
              <w:rPr>
                <w:rFonts w:eastAsia="Times New Roman" w:cs="Times New Roman"/>
                <w:szCs w:val="20"/>
                <w:lang w:eastAsia="fr-FR"/>
              </w:rPr>
            </w:pPr>
          </w:p>
        </w:tc>
        <w:tc>
          <w:tcPr>
            <w:tcW w:w="985" w:type="dxa"/>
            <w:tcBorders>
              <w:top w:val="nil"/>
              <w:left w:val="nil"/>
              <w:bottom w:val="nil"/>
              <w:right w:val="nil"/>
            </w:tcBorders>
            <w:shd w:val="clear" w:color="auto" w:fill="auto"/>
            <w:noWrap/>
            <w:vAlign w:val="bottom"/>
            <w:hideMark/>
          </w:tcPr>
          <w:p w14:paraId="718E9710" w14:textId="77777777" w:rsidR="009D0284" w:rsidRPr="001A2CDA" w:rsidRDefault="009D0284" w:rsidP="009D0284">
            <w:pPr>
              <w:spacing w:after="0" w:line="240" w:lineRule="auto"/>
              <w:jc w:val="center"/>
              <w:rPr>
                <w:rFonts w:eastAsia="Times New Roman" w:cs="Times New Roman"/>
                <w:szCs w:val="20"/>
                <w:lang w:eastAsia="fr-FR"/>
              </w:rPr>
            </w:pPr>
          </w:p>
        </w:tc>
      </w:tr>
      <w:tr w:rsidR="009D0284" w:rsidRPr="001A2CDA" w14:paraId="119B76B5" w14:textId="77777777" w:rsidTr="009D0284">
        <w:trPr>
          <w:trHeight w:val="313"/>
        </w:trPr>
        <w:tc>
          <w:tcPr>
            <w:tcW w:w="1107" w:type="dxa"/>
            <w:tcBorders>
              <w:top w:val="nil"/>
              <w:left w:val="nil"/>
              <w:bottom w:val="nil"/>
              <w:right w:val="nil"/>
            </w:tcBorders>
            <w:shd w:val="clear" w:color="auto" w:fill="auto"/>
            <w:noWrap/>
            <w:vAlign w:val="bottom"/>
            <w:hideMark/>
          </w:tcPr>
          <w:p w14:paraId="4F02962B" w14:textId="77777777" w:rsidR="009D0284" w:rsidRPr="001A2CDA" w:rsidRDefault="009D0284" w:rsidP="009D0284">
            <w:pPr>
              <w:spacing w:after="0" w:line="240" w:lineRule="auto"/>
              <w:jc w:val="center"/>
              <w:rPr>
                <w:rFonts w:eastAsia="Times New Roman" w:cs="Times New Roman"/>
                <w:szCs w:val="20"/>
                <w:lang w:eastAsia="fr-FR"/>
              </w:rPr>
            </w:pPr>
          </w:p>
        </w:tc>
        <w:tc>
          <w:tcPr>
            <w:tcW w:w="1061" w:type="dxa"/>
            <w:tcBorders>
              <w:top w:val="nil"/>
              <w:left w:val="nil"/>
              <w:bottom w:val="nil"/>
              <w:right w:val="nil"/>
            </w:tcBorders>
            <w:shd w:val="clear" w:color="auto" w:fill="auto"/>
            <w:noWrap/>
            <w:vAlign w:val="bottom"/>
            <w:hideMark/>
          </w:tcPr>
          <w:p w14:paraId="3147C0B2" w14:textId="77777777" w:rsidR="009D0284" w:rsidRPr="001A2CDA" w:rsidRDefault="009D0284" w:rsidP="009D0284">
            <w:pPr>
              <w:spacing w:after="0" w:line="240" w:lineRule="auto"/>
              <w:jc w:val="center"/>
              <w:rPr>
                <w:rFonts w:eastAsia="Times New Roman" w:cs="Times New Roman"/>
                <w:szCs w:val="20"/>
                <w:lang w:eastAsia="fr-FR"/>
              </w:rPr>
            </w:pPr>
          </w:p>
        </w:tc>
        <w:tc>
          <w:tcPr>
            <w:tcW w:w="940" w:type="dxa"/>
            <w:tcBorders>
              <w:top w:val="nil"/>
              <w:left w:val="nil"/>
              <w:bottom w:val="nil"/>
              <w:right w:val="nil"/>
            </w:tcBorders>
            <w:shd w:val="clear" w:color="auto" w:fill="auto"/>
            <w:noWrap/>
            <w:vAlign w:val="bottom"/>
            <w:hideMark/>
          </w:tcPr>
          <w:p w14:paraId="28B834AC" w14:textId="77777777" w:rsidR="009D0284" w:rsidRPr="001A2CDA" w:rsidRDefault="009D0284" w:rsidP="009D0284">
            <w:pPr>
              <w:spacing w:after="0" w:line="240" w:lineRule="auto"/>
              <w:jc w:val="center"/>
              <w:rPr>
                <w:rFonts w:eastAsia="Times New Roman" w:cs="Times New Roman"/>
                <w:szCs w:val="20"/>
                <w:lang w:eastAsia="fr-FR"/>
              </w:rPr>
            </w:pPr>
          </w:p>
        </w:tc>
        <w:tc>
          <w:tcPr>
            <w:tcW w:w="1051" w:type="dxa"/>
            <w:tcBorders>
              <w:top w:val="nil"/>
              <w:left w:val="nil"/>
              <w:bottom w:val="nil"/>
              <w:right w:val="nil"/>
            </w:tcBorders>
            <w:shd w:val="clear" w:color="auto" w:fill="auto"/>
            <w:noWrap/>
            <w:vAlign w:val="bottom"/>
            <w:hideMark/>
          </w:tcPr>
          <w:p w14:paraId="3DC97351" w14:textId="77777777" w:rsidR="009D0284" w:rsidRPr="001A2CDA" w:rsidRDefault="009D0284" w:rsidP="009D0284">
            <w:pPr>
              <w:spacing w:after="0" w:line="240" w:lineRule="auto"/>
              <w:jc w:val="center"/>
              <w:rPr>
                <w:rFonts w:eastAsia="Times New Roman" w:cs="Times New Roman"/>
                <w:szCs w:val="20"/>
                <w:lang w:eastAsia="fr-FR"/>
              </w:rPr>
            </w:pPr>
          </w:p>
        </w:tc>
        <w:tc>
          <w:tcPr>
            <w:tcW w:w="1051" w:type="dxa"/>
            <w:tcBorders>
              <w:top w:val="nil"/>
              <w:left w:val="nil"/>
              <w:bottom w:val="nil"/>
              <w:right w:val="nil"/>
            </w:tcBorders>
            <w:shd w:val="clear" w:color="auto" w:fill="auto"/>
            <w:noWrap/>
            <w:vAlign w:val="bottom"/>
            <w:hideMark/>
          </w:tcPr>
          <w:p w14:paraId="7459B32E" w14:textId="77777777" w:rsidR="009D0284" w:rsidRPr="001A2CDA" w:rsidRDefault="009D0284" w:rsidP="009D0284">
            <w:pPr>
              <w:spacing w:after="0" w:line="240" w:lineRule="auto"/>
              <w:jc w:val="center"/>
              <w:rPr>
                <w:rFonts w:eastAsia="Times New Roman" w:cs="Times New Roman"/>
                <w:szCs w:val="20"/>
                <w:lang w:eastAsia="fr-FR"/>
              </w:rPr>
            </w:pPr>
          </w:p>
        </w:tc>
        <w:tc>
          <w:tcPr>
            <w:tcW w:w="1052" w:type="dxa"/>
            <w:tcBorders>
              <w:top w:val="nil"/>
              <w:left w:val="nil"/>
              <w:bottom w:val="nil"/>
              <w:right w:val="nil"/>
            </w:tcBorders>
            <w:shd w:val="clear" w:color="auto" w:fill="auto"/>
            <w:noWrap/>
            <w:vAlign w:val="bottom"/>
            <w:hideMark/>
          </w:tcPr>
          <w:p w14:paraId="303BD3DD" w14:textId="77777777" w:rsidR="009D0284" w:rsidRPr="001A2CDA" w:rsidRDefault="009D0284" w:rsidP="009D0284">
            <w:pPr>
              <w:spacing w:after="0" w:line="240" w:lineRule="auto"/>
              <w:jc w:val="center"/>
              <w:rPr>
                <w:rFonts w:eastAsia="Times New Roman" w:cs="Times New Roman"/>
                <w:szCs w:val="20"/>
                <w:lang w:eastAsia="fr-FR"/>
              </w:rPr>
            </w:pPr>
          </w:p>
        </w:tc>
        <w:tc>
          <w:tcPr>
            <w:tcW w:w="1137" w:type="dxa"/>
            <w:tcBorders>
              <w:top w:val="nil"/>
              <w:left w:val="nil"/>
              <w:bottom w:val="nil"/>
              <w:right w:val="nil"/>
            </w:tcBorders>
            <w:shd w:val="clear" w:color="auto" w:fill="auto"/>
            <w:noWrap/>
            <w:vAlign w:val="bottom"/>
            <w:hideMark/>
          </w:tcPr>
          <w:p w14:paraId="023B8B59" w14:textId="77777777" w:rsidR="009D0284" w:rsidRPr="001A2CDA" w:rsidRDefault="009D0284" w:rsidP="009D0284">
            <w:pPr>
              <w:spacing w:after="0" w:line="240" w:lineRule="auto"/>
              <w:jc w:val="center"/>
              <w:rPr>
                <w:rFonts w:eastAsia="Times New Roman" w:cs="Times New Roman"/>
                <w:szCs w:val="20"/>
                <w:lang w:eastAsia="fr-FR"/>
              </w:rPr>
            </w:pPr>
          </w:p>
        </w:tc>
        <w:tc>
          <w:tcPr>
            <w:tcW w:w="1031" w:type="dxa"/>
            <w:tcBorders>
              <w:top w:val="nil"/>
              <w:left w:val="nil"/>
              <w:bottom w:val="nil"/>
              <w:right w:val="nil"/>
            </w:tcBorders>
            <w:shd w:val="clear" w:color="auto" w:fill="auto"/>
            <w:noWrap/>
            <w:vAlign w:val="bottom"/>
            <w:hideMark/>
          </w:tcPr>
          <w:p w14:paraId="415D8270" w14:textId="77777777" w:rsidR="009D0284" w:rsidRPr="001A2CDA" w:rsidRDefault="009D0284" w:rsidP="009D0284">
            <w:pPr>
              <w:spacing w:after="0" w:line="240" w:lineRule="auto"/>
              <w:jc w:val="center"/>
              <w:rPr>
                <w:rFonts w:eastAsia="Times New Roman" w:cs="Times New Roman"/>
                <w:szCs w:val="20"/>
                <w:lang w:eastAsia="fr-FR"/>
              </w:rPr>
            </w:pPr>
          </w:p>
        </w:tc>
        <w:tc>
          <w:tcPr>
            <w:tcW w:w="1122" w:type="dxa"/>
            <w:tcBorders>
              <w:top w:val="nil"/>
              <w:left w:val="nil"/>
              <w:bottom w:val="nil"/>
              <w:right w:val="nil"/>
            </w:tcBorders>
            <w:shd w:val="clear" w:color="auto" w:fill="auto"/>
            <w:noWrap/>
            <w:vAlign w:val="bottom"/>
            <w:hideMark/>
          </w:tcPr>
          <w:p w14:paraId="3B61E9DE" w14:textId="77777777" w:rsidR="009D0284" w:rsidRPr="001A2CDA" w:rsidRDefault="009D0284" w:rsidP="009D0284">
            <w:pPr>
              <w:spacing w:after="0" w:line="240" w:lineRule="auto"/>
              <w:jc w:val="center"/>
              <w:rPr>
                <w:rFonts w:eastAsia="Times New Roman" w:cs="Times New Roman"/>
                <w:szCs w:val="20"/>
                <w:lang w:eastAsia="fr-FR"/>
              </w:rPr>
            </w:pPr>
          </w:p>
        </w:tc>
        <w:tc>
          <w:tcPr>
            <w:tcW w:w="985" w:type="dxa"/>
            <w:tcBorders>
              <w:top w:val="nil"/>
              <w:left w:val="nil"/>
              <w:bottom w:val="nil"/>
              <w:right w:val="nil"/>
            </w:tcBorders>
            <w:shd w:val="clear" w:color="auto" w:fill="auto"/>
            <w:noWrap/>
            <w:vAlign w:val="bottom"/>
            <w:hideMark/>
          </w:tcPr>
          <w:p w14:paraId="3655B8B3" w14:textId="77777777" w:rsidR="009D0284" w:rsidRPr="001A2CDA" w:rsidRDefault="009D0284" w:rsidP="009D0284">
            <w:pPr>
              <w:spacing w:after="0" w:line="240" w:lineRule="auto"/>
              <w:jc w:val="center"/>
              <w:rPr>
                <w:rFonts w:eastAsia="Times New Roman" w:cs="Times New Roman"/>
                <w:szCs w:val="20"/>
                <w:lang w:eastAsia="fr-FR"/>
              </w:rPr>
            </w:pPr>
          </w:p>
        </w:tc>
      </w:tr>
      <w:tr w:rsidR="009D0284" w:rsidRPr="001A2CDA" w14:paraId="194D9937" w14:textId="77777777" w:rsidTr="009D0284">
        <w:trPr>
          <w:trHeight w:val="302"/>
        </w:trPr>
        <w:tc>
          <w:tcPr>
            <w:tcW w:w="3108" w:type="dxa"/>
            <w:gridSpan w:val="3"/>
            <w:tcBorders>
              <w:top w:val="single" w:sz="8" w:space="0" w:color="auto"/>
              <w:left w:val="single" w:sz="8" w:space="0" w:color="auto"/>
              <w:bottom w:val="single" w:sz="4" w:space="0" w:color="auto"/>
              <w:right w:val="single" w:sz="4" w:space="0" w:color="auto"/>
            </w:tcBorders>
            <w:shd w:val="clear" w:color="000000" w:fill="00B050"/>
            <w:noWrap/>
            <w:vAlign w:val="center"/>
            <w:hideMark/>
          </w:tcPr>
          <w:p w14:paraId="1425C2C4"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Bas</w:t>
            </w:r>
          </w:p>
        </w:tc>
        <w:tc>
          <w:tcPr>
            <w:tcW w:w="3154" w:type="dxa"/>
            <w:gridSpan w:val="3"/>
            <w:tcBorders>
              <w:top w:val="single" w:sz="8" w:space="0" w:color="auto"/>
              <w:left w:val="nil"/>
              <w:bottom w:val="single" w:sz="4" w:space="0" w:color="auto"/>
              <w:right w:val="single" w:sz="4" w:space="0" w:color="auto"/>
            </w:tcBorders>
            <w:shd w:val="clear" w:color="000000" w:fill="FFFF00"/>
            <w:noWrap/>
            <w:vAlign w:val="center"/>
            <w:hideMark/>
          </w:tcPr>
          <w:p w14:paraId="07AD97D9"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Moyen</w:t>
            </w:r>
          </w:p>
        </w:tc>
        <w:tc>
          <w:tcPr>
            <w:tcW w:w="2168" w:type="dxa"/>
            <w:gridSpan w:val="2"/>
            <w:tcBorders>
              <w:top w:val="single" w:sz="8" w:space="0" w:color="auto"/>
              <w:left w:val="nil"/>
              <w:bottom w:val="single" w:sz="4" w:space="0" w:color="auto"/>
              <w:right w:val="single" w:sz="4" w:space="0" w:color="auto"/>
            </w:tcBorders>
            <w:shd w:val="clear" w:color="000000" w:fill="FFC000"/>
            <w:noWrap/>
            <w:vAlign w:val="center"/>
            <w:hideMark/>
          </w:tcPr>
          <w:p w14:paraId="29A70D9D"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Élevé</w:t>
            </w:r>
          </w:p>
        </w:tc>
        <w:tc>
          <w:tcPr>
            <w:tcW w:w="2107" w:type="dxa"/>
            <w:gridSpan w:val="2"/>
            <w:tcBorders>
              <w:top w:val="single" w:sz="8" w:space="0" w:color="auto"/>
              <w:left w:val="nil"/>
              <w:bottom w:val="single" w:sz="4" w:space="0" w:color="auto"/>
              <w:right w:val="single" w:sz="8" w:space="0" w:color="000000"/>
            </w:tcBorders>
            <w:shd w:val="clear" w:color="000000" w:fill="FF0000"/>
            <w:noWrap/>
            <w:vAlign w:val="center"/>
            <w:hideMark/>
          </w:tcPr>
          <w:p w14:paraId="08C21934"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Très élevé</w:t>
            </w:r>
          </w:p>
        </w:tc>
      </w:tr>
      <w:tr w:rsidR="009D0284" w:rsidRPr="001A2CDA" w14:paraId="358FEA93" w14:textId="77777777" w:rsidTr="009D0284">
        <w:trPr>
          <w:trHeight w:val="313"/>
        </w:trPr>
        <w:tc>
          <w:tcPr>
            <w:tcW w:w="1107" w:type="dxa"/>
            <w:tcBorders>
              <w:top w:val="nil"/>
              <w:left w:val="single" w:sz="8" w:space="0" w:color="auto"/>
              <w:bottom w:val="single" w:sz="8" w:space="0" w:color="auto"/>
              <w:right w:val="single" w:sz="4" w:space="0" w:color="auto"/>
            </w:tcBorders>
            <w:shd w:val="clear" w:color="auto" w:fill="auto"/>
            <w:noWrap/>
            <w:vAlign w:val="bottom"/>
            <w:hideMark/>
          </w:tcPr>
          <w:p w14:paraId="50FB84BB"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0,1</w:t>
            </w:r>
          </w:p>
        </w:tc>
        <w:tc>
          <w:tcPr>
            <w:tcW w:w="1061" w:type="dxa"/>
            <w:tcBorders>
              <w:top w:val="nil"/>
              <w:left w:val="nil"/>
              <w:bottom w:val="single" w:sz="8" w:space="0" w:color="auto"/>
              <w:right w:val="single" w:sz="4" w:space="0" w:color="auto"/>
            </w:tcBorders>
            <w:shd w:val="clear" w:color="auto" w:fill="auto"/>
            <w:noWrap/>
            <w:vAlign w:val="bottom"/>
            <w:hideMark/>
          </w:tcPr>
          <w:p w14:paraId="5C1FEB26"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0,2</w:t>
            </w:r>
          </w:p>
        </w:tc>
        <w:tc>
          <w:tcPr>
            <w:tcW w:w="940" w:type="dxa"/>
            <w:tcBorders>
              <w:top w:val="nil"/>
              <w:left w:val="nil"/>
              <w:bottom w:val="single" w:sz="8" w:space="0" w:color="auto"/>
              <w:right w:val="single" w:sz="4" w:space="0" w:color="auto"/>
            </w:tcBorders>
            <w:shd w:val="clear" w:color="auto" w:fill="auto"/>
            <w:noWrap/>
            <w:vAlign w:val="bottom"/>
            <w:hideMark/>
          </w:tcPr>
          <w:p w14:paraId="4F8CFC40"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0,3</w:t>
            </w:r>
          </w:p>
        </w:tc>
        <w:tc>
          <w:tcPr>
            <w:tcW w:w="1051" w:type="dxa"/>
            <w:tcBorders>
              <w:top w:val="nil"/>
              <w:left w:val="nil"/>
              <w:bottom w:val="single" w:sz="8" w:space="0" w:color="auto"/>
              <w:right w:val="single" w:sz="4" w:space="0" w:color="auto"/>
            </w:tcBorders>
            <w:shd w:val="clear" w:color="auto" w:fill="auto"/>
            <w:noWrap/>
            <w:vAlign w:val="bottom"/>
            <w:hideMark/>
          </w:tcPr>
          <w:p w14:paraId="6EB60F38"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0,4</w:t>
            </w:r>
          </w:p>
        </w:tc>
        <w:tc>
          <w:tcPr>
            <w:tcW w:w="1051" w:type="dxa"/>
            <w:tcBorders>
              <w:top w:val="nil"/>
              <w:left w:val="nil"/>
              <w:bottom w:val="single" w:sz="8" w:space="0" w:color="auto"/>
              <w:right w:val="single" w:sz="4" w:space="0" w:color="auto"/>
            </w:tcBorders>
            <w:shd w:val="clear" w:color="auto" w:fill="auto"/>
            <w:noWrap/>
            <w:vAlign w:val="bottom"/>
            <w:hideMark/>
          </w:tcPr>
          <w:p w14:paraId="5972CDBB"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0,5</w:t>
            </w:r>
          </w:p>
        </w:tc>
        <w:tc>
          <w:tcPr>
            <w:tcW w:w="1052" w:type="dxa"/>
            <w:tcBorders>
              <w:top w:val="nil"/>
              <w:left w:val="nil"/>
              <w:bottom w:val="single" w:sz="8" w:space="0" w:color="auto"/>
              <w:right w:val="single" w:sz="4" w:space="0" w:color="auto"/>
            </w:tcBorders>
            <w:shd w:val="clear" w:color="auto" w:fill="auto"/>
            <w:noWrap/>
            <w:vAlign w:val="bottom"/>
            <w:hideMark/>
          </w:tcPr>
          <w:p w14:paraId="244B587A"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0,6</w:t>
            </w:r>
          </w:p>
        </w:tc>
        <w:tc>
          <w:tcPr>
            <w:tcW w:w="1137" w:type="dxa"/>
            <w:tcBorders>
              <w:top w:val="nil"/>
              <w:left w:val="nil"/>
              <w:bottom w:val="single" w:sz="8" w:space="0" w:color="auto"/>
              <w:right w:val="single" w:sz="4" w:space="0" w:color="auto"/>
            </w:tcBorders>
            <w:shd w:val="clear" w:color="auto" w:fill="auto"/>
            <w:noWrap/>
            <w:vAlign w:val="bottom"/>
            <w:hideMark/>
          </w:tcPr>
          <w:p w14:paraId="798DF61E"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0,7</w:t>
            </w:r>
          </w:p>
        </w:tc>
        <w:tc>
          <w:tcPr>
            <w:tcW w:w="1031" w:type="dxa"/>
            <w:tcBorders>
              <w:top w:val="nil"/>
              <w:left w:val="nil"/>
              <w:bottom w:val="single" w:sz="8" w:space="0" w:color="auto"/>
              <w:right w:val="single" w:sz="4" w:space="0" w:color="auto"/>
            </w:tcBorders>
            <w:shd w:val="clear" w:color="auto" w:fill="auto"/>
            <w:noWrap/>
            <w:vAlign w:val="bottom"/>
            <w:hideMark/>
          </w:tcPr>
          <w:p w14:paraId="5627C6C5"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0,8</w:t>
            </w:r>
          </w:p>
        </w:tc>
        <w:tc>
          <w:tcPr>
            <w:tcW w:w="1122" w:type="dxa"/>
            <w:tcBorders>
              <w:top w:val="nil"/>
              <w:left w:val="nil"/>
              <w:bottom w:val="single" w:sz="8" w:space="0" w:color="auto"/>
              <w:right w:val="single" w:sz="4" w:space="0" w:color="auto"/>
            </w:tcBorders>
            <w:shd w:val="clear" w:color="auto" w:fill="auto"/>
            <w:noWrap/>
            <w:vAlign w:val="bottom"/>
            <w:hideMark/>
          </w:tcPr>
          <w:p w14:paraId="4F0166BB"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0,9</w:t>
            </w:r>
          </w:p>
        </w:tc>
        <w:tc>
          <w:tcPr>
            <w:tcW w:w="985" w:type="dxa"/>
            <w:tcBorders>
              <w:top w:val="nil"/>
              <w:left w:val="nil"/>
              <w:bottom w:val="single" w:sz="8" w:space="0" w:color="auto"/>
              <w:right w:val="single" w:sz="8" w:space="0" w:color="auto"/>
            </w:tcBorders>
            <w:shd w:val="clear" w:color="auto" w:fill="auto"/>
            <w:noWrap/>
            <w:vAlign w:val="bottom"/>
            <w:hideMark/>
          </w:tcPr>
          <w:p w14:paraId="03CEF4BF" w14:textId="77777777" w:rsidR="009D0284" w:rsidRPr="001A2CDA" w:rsidRDefault="009D0284" w:rsidP="009D0284">
            <w:pPr>
              <w:spacing w:after="0" w:line="240" w:lineRule="auto"/>
              <w:jc w:val="center"/>
              <w:rPr>
                <w:rFonts w:eastAsia="Times New Roman" w:cs="Times New Roman"/>
                <w:b/>
                <w:bCs/>
                <w:color w:val="000000"/>
                <w:sz w:val="24"/>
                <w:szCs w:val="24"/>
                <w:lang w:eastAsia="fr-FR"/>
              </w:rPr>
            </w:pPr>
            <w:r w:rsidRPr="001A2CDA">
              <w:rPr>
                <w:rFonts w:eastAsia="Times New Roman" w:cs="Times New Roman"/>
                <w:b/>
                <w:bCs/>
                <w:color w:val="000000"/>
                <w:sz w:val="24"/>
                <w:szCs w:val="24"/>
                <w:lang w:eastAsia="fr-FR"/>
              </w:rPr>
              <w:t>1</w:t>
            </w:r>
          </w:p>
        </w:tc>
      </w:tr>
    </w:tbl>
    <w:p w14:paraId="666BFA39" w14:textId="77777777" w:rsidR="009D0284" w:rsidRDefault="0032019A" w:rsidP="00DD206B">
      <w:pPr>
        <w:spacing w:line="360" w:lineRule="auto"/>
        <w:jc w:val="both"/>
      </w:pPr>
      <w:r>
        <w:br w:type="page"/>
      </w:r>
    </w:p>
    <w:p w14:paraId="1CBB11E9" w14:textId="07E1399D" w:rsidR="0032019A" w:rsidRDefault="0032019A" w:rsidP="00DD206B">
      <w:pPr>
        <w:spacing w:line="360" w:lineRule="auto"/>
        <w:jc w:val="both"/>
      </w:pPr>
    </w:p>
    <w:p w14:paraId="068150F7" w14:textId="49C1D582" w:rsidR="004F51D4" w:rsidRDefault="004F51D4" w:rsidP="00DD206B">
      <w:pPr>
        <w:spacing w:line="360" w:lineRule="auto"/>
        <w:jc w:val="both"/>
      </w:pPr>
    </w:p>
    <w:p w14:paraId="2A0BBF1E" w14:textId="75A93BB6" w:rsidR="00664830" w:rsidRDefault="00664830" w:rsidP="00DD206B">
      <w:pPr>
        <w:spacing w:line="360" w:lineRule="auto"/>
        <w:jc w:val="both"/>
      </w:pPr>
    </w:p>
    <w:p w14:paraId="1FAF9BE5" w14:textId="5DDC4A4F" w:rsidR="004F51D4" w:rsidRDefault="004F51D4" w:rsidP="009D0284">
      <w:pPr>
        <w:tabs>
          <w:tab w:val="left" w:pos="642"/>
        </w:tabs>
        <w:spacing w:line="360" w:lineRule="auto"/>
        <w:jc w:val="both"/>
      </w:pPr>
    </w:p>
    <w:p w14:paraId="2EFC6A4C" w14:textId="68FF4BFA" w:rsidR="004F51D4" w:rsidRDefault="004F51D4" w:rsidP="00DD206B">
      <w:pPr>
        <w:spacing w:line="360" w:lineRule="auto"/>
        <w:jc w:val="both"/>
      </w:pPr>
    </w:p>
    <w:p w14:paraId="2486B1BD" w14:textId="590B6871" w:rsidR="004F51D4" w:rsidRDefault="004F51D4" w:rsidP="00DD206B">
      <w:pPr>
        <w:spacing w:line="360" w:lineRule="auto"/>
        <w:jc w:val="both"/>
      </w:pPr>
    </w:p>
    <w:p w14:paraId="5E5D681D" w14:textId="671BA63E" w:rsidR="004F51D4" w:rsidRDefault="004F51D4" w:rsidP="00DD206B">
      <w:pPr>
        <w:spacing w:line="360" w:lineRule="auto"/>
        <w:jc w:val="both"/>
      </w:pPr>
    </w:p>
    <w:p w14:paraId="7A5615FB" w14:textId="2AC587CB" w:rsidR="004E1082" w:rsidRPr="008F704B" w:rsidRDefault="004E1082" w:rsidP="00DD206B">
      <w:pPr>
        <w:tabs>
          <w:tab w:val="left" w:pos="567"/>
        </w:tabs>
        <w:spacing w:before="240" w:after="120" w:line="360" w:lineRule="auto"/>
        <w:contextualSpacing/>
        <w:jc w:val="both"/>
        <w:rPr>
          <w:rFonts w:cs="Times New Roman"/>
          <w:b/>
          <w:bCs/>
          <w:sz w:val="22"/>
          <w:szCs w:val="22"/>
        </w:rPr>
      </w:pPr>
    </w:p>
    <w:p w14:paraId="23C77D9E" w14:textId="592A7C38" w:rsidR="004E1082" w:rsidRPr="008F704B" w:rsidRDefault="004E1082" w:rsidP="00DD206B">
      <w:pPr>
        <w:tabs>
          <w:tab w:val="left" w:pos="567"/>
        </w:tabs>
        <w:spacing w:before="240" w:after="120" w:line="360" w:lineRule="auto"/>
        <w:contextualSpacing/>
        <w:jc w:val="both"/>
        <w:rPr>
          <w:rFonts w:cs="Times New Roman"/>
          <w:b/>
          <w:bCs/>
          <w:sz w:val="22"/>
          <w:szCs w:val="22"/>
        </w:rPr>
        <w:sectPr w:rsidR="004E1082" w:rsidRPr="008F704B" w:rsidSect="004838E6">
          <w:pgSz w:w="11906" w:h="16838" w:code="9"/>
          <w:pgMar w:top="1440" w:right="1440" w:bottom="1134" w:left="1440" w:header="708" w:footer="708" w:gutter="0"/>
          <w:cols w:space="708"/>
          <w:docGrid w:linePitch="360"/>
        </w:sectPr>
      </w:pPr>
    </w:p>
    <w:p w14:paraId="2D029F91" w14:textId="2DF4F542" w:rsidR="002E22F1" w:rsidRPr="008F704B" w:rsidRDefault="002E22F1" w:rsidP="00DD206B">
      <w:pPr>
        <w:pStyle w:val="Titre1"/>
        <w:rPr>
          <w:sz w:val="22"/>
        </w:rPr>
        <w:sectPr w:rsidR="002E22F1" w:rsidRPr="008F704B" w:rsidSect="004838E6">
          <w:type w:val="continuous"/>
          <w:pgSz w:w="11906" w:h="16838" w:code="9"/>
          <w:pgMar w:top="1440" w:right="1440" w:bottom="1134" w:left="1440" w:header="708" w:footer="708" w:gutter="0"/>
          <w:cols w:space="708"/>
          <w:docGrid w:linePitch="360"/>
        </w:sectPr>
      </w:pPr>
    </w:p>
    <w:p w14:paraId="0D5A9EDE" w14:textId="304F6798" w:rsidR="00670FA4" w:rsidRDefault="00670FA4" w:rsidP="00AF0706"/>
    <w:p w14:paraId="15158422" w14:textId="148CB2E0" w:rsidR="00670FA4" w:rsidRDefault="00670FA4" w:rsidP="00AF0706"/>
    <w:p w14:paraId="01B09319" w14:textId="2C39F2F0" w:rsidR="00670FA4" w:rsidRDefault="00670FA4" w:rsidP="00AF0706"/>
    <w:p w14:paraId="7E4BDCAF" w14:textId="77777777" w:rsidR="0032019A" w:rsidRDefault="0032019A" w:rsidP="00AF0706">
      <w:pPr>
        <w:pStyle w:val="Titre1"/>
        <w:jc w:val="center"/>
        <w:rPr>
          <w:sz w:val="22"/>
        </w:rPr>
      </w:pPr>
      <w:r>
        <w:rPr>
          <w:sz w:val="22"/>
        </w:rPr>
        <w:br w:type="page"/>
      </w:r>
    </w:p>
    <w:p w14:paraId="03D88204" w14:textId="3146A59A" w:rsidR="0097372B" w:rsidRDefault="0097372B" w:rsidP="00AF0706">
      <w:pPr>
        <w:pStyle w:val="Titre1"/>
        <w:jc w:val="center"/>
        <w:rPr>
          <w:sz w:val="22"/>
        </w:rPr>
      </w:pPr>
      <w:bookmarkStart w:id="3" w:name="_Toc213326896"/>
      <w:r w:rsidRPr="008F704B">
        <w:rPr>
          <w:sz w:val="22"/>
        </w:rPr>
        <w:lastRenderedPageBreak/>
        <w:t>ANALYSE DE LA MENACE</w:t>
      </w:r>
      <w:r w:rsidR="005F626A" w:rsidRPr="008F704B">
        <w:rPr>
          <w:sz w:val="22"/>
        </w:rPr>
        <w:t xml:space="preserve"> DE BC</w:t>
      </w:r>
      <w:bookmarkEnd w:id="3"/>
    </w:p>
    <w:p w14:paraId="351A66AC" w14:textId="77777777" w:rsidR="00147FD3" w:rsidRPr="008F704B" w:rsidRDefault="00147FD3" w:rsidP="00DD206B">
      <w:pPr>
        <w:pStyle w:val="Titre2"/>
        <w:rPr>
          <w:sz w:val="22"/>
        </w:rPr>
      </w:pPr>
      <w:bookmarkStart w:id="4" w:name="_Toc213326897"/>
      <w:r w:rsidRPr="008F704B">
        <w:rPr>
          <w:sz w:val="22"/>
        </w:rPr>
        <w:t>EVALUATION DE LA MENACE SELON L’ORIGINE</w:t>
      </w:r>
      <w:bookmarkEnd w:id="4"/>
    </w:p>
    <w:p w14:paraId="3A908833" w14:textId="7EC3A2A7" w:rsidR="006473E4" w:rsidRDefault="006473E4" w:rsidP="00DD206B">
      <w:pPr>
        <w:tabs>
          <w:tab w:val="left" w:pos="567"/>
        </w:tabs>
        <w:spacing w:before="240" w:after="120" w:line="360" w:lineRule="auto"/>
        <w:jc w:val="both"/>
        <w:rPr>
          <w:rFonts w:cs="Times New Roman"/>
          <w:sz w:val="22"/>
          <w:szCs w:val="22"/>
        </w:rPr>
      </w:pPr>
      <w:r>
        <w:rPr>
          <w:rFonts w:cs="Times New Roman"/>
          <w:sz w:val="22"/>
          <w:szCs w:val="22"/>
        </w:rPr>
        <w:t>On entend ici par « origine » le lieu de commission de l’infraction sous-</w:t>
      </w:r>
      <w:r w:rsidR="00BC6A7C">
        <w:rPr>
          <w:rFonts w:cs="Times New Roman"/>
          <w:sz w:val="22"/>
          <w:szCs w:val="22"/>
        </w:rPr>
        <w:t>jacente ou le lieu où le produit du crime a été blanchi.</w:t>
      </w:r>
    </w:p>
    <w:p w14:paraId="30407D79" w14:textId="528B644B" w:rsidR="00147FD3" w:rsidRDefault="00BC6A7C" w:rsidP="00DD206B">
      <w:pPr>
        <w:tabs>
          <w:tab w:val="left" w:pos="567"/>
        </w:tabs>
        <w:spacing w:before="240" w:after="120" w:line="360" w:lineRule="auto"/>
        <w:jc w:val="both"/>
        <w:rPr>
          <w:rFonts w:cs="Times New Roman"/>
          <w:sz w:val="22"/>
          <w:szCs w:val="22"/>
        </w:rPr>
      </w:pPr>
      <w:r>
        <w:rPr>
          <w:rFonts w:cs="Times New Roman"/>
          <w:sz w:val="22"/>
          <w:szCs w:val="22"/>
        </w:rPr>
        <w:t>Ainsi, s</w:t>
      </w:r>
      <w:r w:rsidR="007B6405">
        <w:rPr>
          <w:rFonts w:cs="Times New Roman"/>
          <w:sz w:val="22"/>
          <w:szCs w:val="22"/>
        </w:rPr>
        <w:t>elon les origines, o</w:t>
      </w:r>
      <w:r w:rsidR="00147FD3" w:rsidRPr="008F704B">
        <w:rPr>
          <w:rFonts w:cs="Times New Roman"/>
          <w:sz w:val="22"/>
          <w:szCs w:val="22"/>
        </w:rPr>
        <w:t xml:space="preserve">n distingue </w:t>
      </w:r>
      <w:r w:rsidR="00F958E5">
        <w:rPr>
          <w:rFonts w:cs="Times New Roman"/>
          <w:sz w:val="22"/>
          <w:szCs w:val="22"/>
        </w:rPr>
        <w:t>deux</w:t>
      </w:r>
      <w:r w:rsidR="007B6405">
        <w:rPr>
          <w:rFonts w:cs="Times New Roman"/>
          <w:sz w:val="22"/>
          <w:szCs w:val="22"/>
        </w:rPr>
        <w:t xml:space="preserve"> types de </w:t>
      </w:r>
      <w:r w:rsidR="00147FD3" w:rsidRPr="008F704B">
        <w:rPr>
          <w:rFonts w:cs="Times New Roman"/>
          <w:sz w:val="22"/>
          <w:szCs w:val="22"/>
        </w:rPr>
        <w:t>menace</w:t>
      </w:r>
      <w:r w:rsidR="00F958E5">
        <w:rPr>
          <w:rFonts w:cs="Times New Roman"/>
          <w:sz w:val="22"/>
          <w:szCs w:val="22"/>
        </w:rPr>
        <w:t>s</w:t>
      </w:r>
      <w:r w:rsidR="00147FD3" w:rsidRPr="008F704B">
        <w:rPr>
          <w:rFonts w:cs="Times New Roman"/>
          <w:sz w:val="22"/>
          <w:szCs w:val="22"/>
        </w:rPr>
        <w:t xml:space="preserve"> </w:t>
      </w:r>
      <w:r w:rsidR="007B6405">
        <w:rPr>
          <w:rFonts w:cs="Times New Roman"/>
          <w:sz w:val="22"/>
          <w:szCs w:val="22"/>
        </w:rPr>
        <w:t xml:space="preserve">qui sont la menace </w:t>
      </w:r>
      <w:r w:rsidR="00147FD3" w:rsidRPr="008F704B">
        <w:rPr>
          <w:rFonts w:cs="Times New Roman"/>
          <w:sz w:val="22"/>
          <w:szCs w:val="22"/>
        </w:rPr>
        <w:t>intérieure</w:t>
      </w:r>
      <w:r w:rsidR="00F958E5">
        <w:rPr>
          <w:rFonts w:cs="Times New Roman"/>
          <w:sz w:val="22"/>
          <w:szCs w:val="22"/>
        </w:rPr>
        <w:t xml:space="preserve"> et</w:t>
      </w:r>
      <w:r w:rsidR="00147FD3" w:rsidRPr="008F704B">
        <w:rPr>
          <w:rFonts w:cs="Times New Roman"/>
          <w:sz w:val="22"/>
          <w:szCs w:val="22"/>
        </w:rPr>
        <w:t xml:space="preserve"> </w:t>
      </w:r>
      <w:r w:rsidR="007B6405">
        <w:rPr>
          <w:rFonts w:cs="Times New Roman"/>
          <w:sz w:val="22"/>
          <w:szCs w:val="22"/>
        </w:rPr>
        <w:t xml:space="preserve">la </w:t>
      </w:r>
      <w:r w:rsidR="00147FD3" w:rsidRPr="008F704B">
        <w:rPr>
          <w:rFonts w:cs="Times New Roman"/>
          <w:sz w:val="22"/>
          <w:szCs w:val="22"/>
        </w:rPr>
        <w:t>menace extérieure</w:t>
      </w:r>
      <w:r w:rsidR="00F958E5">
        <w:rPr>
          <w:rFonts w:cs="Times New Roman"/>
          <w:sz w:val="22"/>
          <w:szCs w:val="22"/>
        </w:rPr>
        <w:t>. En plus de ces deux types de menace</w:t>
      </w:r>
      <w:r w:rsidR="00FA7AA7">
        <w:rPr>
          <w:rFonts w:cs="Times New Roman"/>
          <w:sz w:val="22"/>
          <w:szCs w:val="22"/>
        </w:rPr>
        <w:t>s</w:t>
      </w:r>
      <w:r w:rsidR="00F958E5">
        <w:rPr>
          <w:rFonts w:cs="Times New Roman"/>
          <w:sz w:val="22"/>
          <w:szCs w:val="22"/>
        </w:rPr>
        <w:t>, nous allons également analyser</w:t>
      </w:r>
      <w:r w:rsidR="007B6405">
        <w:rPr>
          <w:rFonts w:cs="Times New Roman"/>
          <w:sz w:val="22"/>
          <w:szCs w:val="22"/>
        </w:rPr>
        <w:t xml:space="preserve"> </w:t>
      </w:r>
      <w:r>
        <w:rPr>
          <w:rFonts w:cs="Times New Roman"/>
          <w:sz w:val="22"/>
          <w:szCs w:val="22"/>
        </w:rPr>
        <w:t>la menace d</w:t>
      </w:r>
      <w:r w:rsidR="007B6405">
        <w:rPr>
          <w:rFonts w:cs="Times New Roman"/>
          <w:sz w:val="22"/>
          <w:szCs w:val="22"/>
        </w:rPr>
        <w:t>e blanchiment de capitaux dit autonome</w:t>
      </w:r>
      <w:r w:rsidR="00147FD3" w:rsidRPr="008F704B">
        <w:rPr>
          <w:rFonts w:cs="Times New Roman"/>
          <w:sz w:val="22"/>
          <w:szCs w:val="22"/>
        </w:rPr>
        <w:t>.</w:t>
      </w:r>
    </w:p>
    <w:p w14:paraId="376A0901" w14:textId="59FD9A45" w:rsidR="002848EC" w:rsidRDefault="002848EC" w:rsidP="00DD206B">
      <w:pPr>
        <w:tabs>
          <w:tab w:val="left" w:pos="567"/>
        </w:tabs>
        <w:spacing w:before="240" w:after="120" w:line="360" w:lineRule="auto"/>
        <w:jc w:val="both"/>
        <w:rPr>
          <w:rFonts w:cs="Times New Roman"/>
          <w:sz w:val="22"/>
          <w:szCs w:val="22"/>
        </w:rPr>
      </w:pPr>
      <w:r>
        <w:rPr>
          <w:rFonts w:cs="Times New Roman"/>
          <w:sz w:val="22"/>
          <w:szCs w:val="22"/>
        </w:rPr>
        <w:t>La menace intérieure est liée aux infractions sous-jacentes commises sur le territoire national</w:t>
      </w:r>
      <w:r w:rsidR="004751E3">
        <w:rPr>
          <w:rFonts w:cs="Times New Roman"/>
          <w:sz w:val="22"/>
          <w:szCs w:val="22"/>
        </w:rPr>
        <w:t xml:space="preserve"> et </w:t>
      </w:r>
      <w:r w:rsidR="00E50673">
        <w:rPr>
          <w:rFonts w:cs="Times New Roman"/>
          <w:sz w:val="22"/>
          <w:szCs w:val="22"/>
        </w:rPr>
        <w:t>dont l</w:t>
      </w:r>
      <w:r w:rsidR="004751E3">
        <w:rPr>
          <w:rFonts w:cs="Times New Roman"/>
          <w:sz w:val="22"/>
          <w:szCs w:val="22"/>
        </w:rPr>
        <w:t xml:space="preserve">es produits du crime sont </w:t>
      </w:r>
      <w:r w:rsidR="004751E3" w:rsidRPr="007814D0">
        <w:rPr>
          <w:rFonts w:cs="Times New Roman"/>
          <w:sz w:val="22"/>
          <w:szCs w:val="22"/>
        </w:rPr>
        <w:t xml:space="preserve">blanchis </w:t>
      </w:r>
      <w:r w:rsidR="000C6DE9" w:rsidRPr="00670FA4">
        <w:rPr>
          <w:rFonts w:cs="Times New Roman"/>
          <w:sz w:val="22"/>
          <w:szCs w:val="22"/>
        </w:rPr>
        <w:t>sur le même territoire</w:t>
      </w:r>
      <w:r w:rsidR="00E50673" w:rsidRPr="00670FA4">
        <w:rPr>
          <w:rFonts w:cs="Times New Roman"/>
          <w:sz w:val="22"/>
          <w:szCs w:val="22"/>
        </w:rPr>
        <w:t xml:space="preserve">. </w:t>
      </w:r>
      <w:r w:rsidR="004751E3">
        <w:rPr>
          <w:rFonts w:cs="Times New Roman"/>
          <w:sz w:val="22"/>
          <w:szCs w:val="22"/>
        </w:rPr>
        <w:t>Elle</w:t>
      </w:r>
      <w:r w:rsidR="002D2D87">
        <w:rPr>
          <w:rFonts w:cs="Times New Roman"/>
          <w:sz w:val="22"/>
          <w:szCs w:val="22"/>
        </w:rPr>
        <w:t xml:space="preserve"> </w:t>
      </w:r>
      <w:r w:rsidR="002D2D87" w:rsidRPr="008F704B">
        <w:rPr>
          <w:rFonts w:cs="Times New Roman"/>
          <w:sz w:val="22"/>
          <w:szCs w:val="22"/>
        </w:rPr>
        <w:t xml:space="preserve">ne présente </w:t>
      </w:r>
      <w:r w:rsidR="004751E3">
        <w:rPr>
          <w:rFonts w:cs="Times New Roman"/>
          <w:sz w:val="22"/>
          <w:szCs w:val="22"/>
        </w:rPr>
        <w:t xml:space="preserve">donc </w:t>
      </w:r>
      <w:r w:rsidR="002D2D87" w:rsidRPr="008F704B">
        <w:rPr>
          <w:rFonts w:cs="Times New Roman"/>
          <w:sz w:val="22"/>
          <w:szCs w:val="22"/>
        </w:rPr>
        <w:t>aucun lien avec un autre territoire</w:t>
      </w:r>
      <w:r>
        <w:rPr>
          <w:rFonts w:cs="Times New Roman"/>
          <w:sz w:val="22"/>
          <w:szCs w:val="22"/>
        </w:rPr>
        <w:t>.</w:t>
      </w:r>
    </w:p>
    <w:p w14:paraId="593A2DD1" w14:textId="1129E6E2" w:rsidR="0023055B" w:rsidRPr="000E6CAC" w:rsidRDefault="0023055B" w:rsidP="00DD206B">
      <w:pPr>
        <w:pStyle w:val="NormalWeb"/>
        <w:spacing w:line="360" w:lineRule="auto"/>
        <w:jc w:val="both"/>
        <w:rPr>
          <w:rFonts w:eastAsiaTheme="minorEastAsia"/>
          <w:sz w:val="22"/>
          <w:szCs w:val="22"/>
          <w:lang w:val="fr-FR" w:eastAsia="en-US"/>
        </w:rPr>
      </w:pPr>
      <w:r w:rsidRPr="009F0687">
        <w:rPr>
          <w:rFonts w:eastAsiaTheme="minorEastAsia"/>
          <w:sz w:val="22"/>
          <w:szCs w:val="22"/>
          <w:lang w:val="fr-FR" w:eastAsia="en-US"/>
        </w:rPr>
        <w:t>Quant à la</w:t>
      </w:r>
      <w:r w:rsidRPr="000E6CAC">
        <w:rPr>
          <w:rFonts w:eastAsiaTheme="minorEastAsia"/>
          <w:sz w:val="22"/>
          <w:szCs w:val="22"/>
          <w:lang w:val="fr-FR" w:eastAsia="en-US"/>
        </w:rPr>
        <w:t xml:space="preserve"> menace extérieure ou transfrontalière</w:t>
      </w:r>
      <w:r w:rsidR="000B128B" w:rsidRPr="000E6CAC">
        <w:rPr>
          <w:rFonts w:eastAsiaTheme="minorEastAsia"/>
          <w:sz w:val="22"/>
          <w:szCs w:val="22"/>
          <w:lang w:val="fr-FR" w:eastAsia="en-US"/>
        </w:rPr>
        <w:t>, elle</w:t>
      </w:r>
      <w:r w:rsidRPr="000E6CAC">
        <w:rPr>
          <w:rFonts w:eastAsiaTheme="minorEastAsia"/>
          <w:sz w:val="22"/>
          <w:szCs w:val="22"/>
          <w:lang w:val="fr-FR" w:eastAsia="en-US"/>
        </w:rPr>
        <w:t xml:space="preserve"> désigne l’ensemble des infractions </w:t>
      </w:r>
      <w:r w:rsidR="00A45F16">
        <w:rPr>
          <w:rFonts w:eastAsiaTheme="minorEastAsia"/>
          <w:sz w:val="22"/>
          <w:szCs w:val="22"/>
          <w:lang w:val="fr-FR" w:eastAsia="en-US"/>
        </w:rPr>
        <w:t>recelant un élément d’extranéité</w:t>
      </w:r>
      <w:r w:rsidR="00E36CF6">
        <w:rPr>
          <w:rFonts w:eastAsiaTheme="minorEastAsia"/>
          <w:sz w:val="22"/>
          <w:szCs w:val="22"/>
          <w:lang w:val="fr-FR" w:eastAsia="en-US"/>
        </w:rPr>
        <w:t>.</w:t>
      </w:r>
      <w:r w:rsidR="00A45F16">
        <w:rPr>
          <w:rFonts w:eastAsiaTheme="minorEastAsia"/>
          <w:sz w:val="22"/>
          <w:szCs w:val="22"/>
          <w:lang w:val="fr-FR" w:eastAsia="en-US"/>
        </w:rPr>
        <w:t xml:space="preserve"> </w:t>
      </w:r>
      <w:r w:rsidR="00E36CF6">
        <w:rPr>
          <w:rFonts w:eastAsiaTheme="minorEastAsia"/>
          <w:sz w:val="22"/>
          <w:szCs w:val="22"/>
          <w:lang w:val="fr-FR" w:eastAsia="en-US"/>
        </w:rPr>
        <w:t xml:space="preserve">La menace transfrontalière peut être perçue dans </w:t>
      </w:r>
      <w:r w:rsidR="00B5250C">
        <w:rPr>
          <w:rFonts w:eastAsiaTheme="minorEastAsia"/>
          <w:sz w:val="22"/>
          <w:szCs w:val="22"/>
          <w:lang w:val="fr-FR" w:eastAsia="en-US"/>
        </w:rPr>
        <w:t>l</w:t>
      </w:r>
      <w:r w:rsidR="00E36CF6">
        <w:rPr>
          <w:rFonts w:eastAsiaTheme="minorEastAsia"/>
          <w:sz w:val="22"/>
          <w:szCs w:val="22"/>
          <w:lang w:val="fr-FR" w:eastAsia="en-US"/>
        </w:rPr>
        <w:t xml:space="preserve">es cas suivants </w:t>
      </w:r>
      <w:r w:rsidRPr="000E6CAC">
        <w:rPr>
          <w:rFonts w:eastAsiaTheme="minorEastAsia"/>
          <w:sz w:val="22"/>
          <w:szCs w:val="22"/>
          <w:lang w:val="fr-FR" w:eastAsia="en-US"/>
        </w:rPr>
        <w:t>:</w:t>
      </w:r>
    </w:p>
    <w:p w14:paraId="1F5B4F69" w14:textId="6AA20841" w:rsidR="0023055B" w:rsidRPr="00B5250C" w:rsidRDefault="00B5250C" w:rsidP="00DD206B">
      <w:pPr>
        <w:pStyle w:val="NormalWeb"/>
        <w:numPr>
          <w:ilvl w:val="0"/>
          <w:numId w:val="3"/>
        </w:numPr>
        <w:spacing w:line="360" w:lineRule="auto"/>
        <w:jc w:val="both"/>
        <w:rPr>
          <w:rFonts w:eastAsiaTheme="minorEastAsia"/>
          <w:sz w:val="22"/>
          <w:szCs w:val="22"/>
          <w:lang w:val="fr-FR" w:eastAsia="en-US"/>
        </w:rPr>
      </w:pPr>
      <w:r>
        <w:rPr>
          <w:rFonts w:eastAsiaTheme="minorEastAsia"/>
          <w:sz w:val="22"/>
          <w:szCs w:val="22"/>
          <w:lang w:val="fr-FR" w:eastAsia="en-US"/>
        </w:rPr>
        <w:t xml:space="preserve">Lorsqu’elles sont commises </w:t>
      </w:r>
      <w:r w:rsidR="0023055B" w:rsidRPr="000E6CAC">
        <w:rPr>
          <w:rFonts w:eastAsiaTheme="minorEastAsia"/>
          <w:sz w:val="22"/>
          <w:szCs w:val="22"/>
          <w:lang w:val="fr-FR" w:eastAsia="en-US"/>
        </w:rPr>
        <w:t>en Côte d’Ivoire par des criminels résidant à l’étranger ou dans un autre pays par des criminels ayant trouvé refuge sur le territoire ivoirien</w:t>
      </w:r>
      <w:r w:rsidR="00A45F16" w:rsidRPr="00B5250C">
        <w:rPr>
          <w:rFonts w:eastAsiaTheme="minorEastAsia"/>
          <w:sz w:val="22"/>
          <w:szCs w:val="22"/>
          <w:lang w:val="fr-FR" w:eastAsia="en-US"/>
        </w:rPr>
        <w:t> ;</w:t>
      </w:r>
    </w:p>
    <w:p w14:paraId="0D6CFA07" w14:textId="60F0CEBA" w:rsidR="00A45F16" w:rsidRPr="000E6CAC" w:rsidRDefault="00CB6E19" w:rsidP="00DD206B">
      <w:pPr>
        <w:pStyle w:val="NormalWeb"/>
        <w:numPr>
          <w:ilvl w:val="0"/>
          <w:numId w:val="3"/>
        </w:numPr>
        <w:spacing w:line="360" w:lineRule="auto"/>
        <w:jc w:val="both"/>
        <w:rPr>
          <w:rFonts w:eastAsiaTheme="minorEastAsia"/>
          <w:sz w:val="22"/>
          <w:szCs w:val="22"/>
          <w:lang w:val="fr-FR" w:eastAsia="en-US"/>
        </w:rPr>
      </w:pPr>
      <w:r>
        <w:rPr>
          <w:rFonts w:eastAsiaTheme="minorEastAsia"/>
          <w:sz w:val="22"/>
          <w:szCs w:val="22"/>
          <w:lang w:val="fr-FR" w:eastAsia="en-US"/>
        </w:rPr>
        <w:t>Lorsque</w:t>
      </w:r>
      <w:r w:rsidR="00A45F16">
        <w:rPr>
          <w:rFonts w:eastAsiaTheme="minorEastAsia"/>
          <w:sz w:val="22"/>
          <w:szCs w:val="22"/>
          <w:lang w:val="fr-FR" w:eastAsia="en-US"/>
        </w:rPr>
        <w:t xml:space="preserve"> les produits du crime commis sur le territoire </w:t>
      </w:r>
      <w:r w:rsidR="00B5250C">
        <w:rPr>
          <w:rFonts w:eastAsiaTheme="minorEastAsia"/>
          <w:sz w:val="22"/>
          <w:szCs w:val="22"/>
          <w:lang w:val="fr-FR" w:eastAsia="en-US"/>
        </w:rPr>
        <w:t>i</w:t>
      </w:r>
      <w:r w:rsidR="00A45F16">
        <w:rPr>
          <w:rFonts w:eastAsiaTheme="minorEastAsia"/>
          <w:sz w:val="22"/>
          <w:szCs w:val="22"/>
          <w:lang w:val="fr-FR" w:eastAsia="en-US"/>
        </w:rPr>
        <w:t>voirien</w:t>
      </w:r>
      <w:r w:rsidR="00B5250C">
        <w:rPr>
          <w:rFonts w:eastAsiaTheme="minorEastAsia"/>
          <w:sz w:val="22"/>
          <w:szCs w:val="22"/>
          <w:lang w:val="fr-FR" w:eastAsia="en-US"/>
        </w:rPr>
        <w:t>,</w:t>
      </w:r>
      <w:r w:rsidR="00A45F16">
        <w:rPr>
          <w:rFonts w:eastAsiaTheme="minorEastAsia"/>
          <w:sz w:val="22"/>
          <w:szCs w:val="22"/>
          <w:lang w:val="fr-FR" w:eastAsia="en-US"/>
        </w:rPr>
        <w:t xml:space="preserve"> sont blanchis dans un autre pays </w:t>
      </w:r>
      <w:r w:rsidR="00B5250C">
        <w:rPr>
          <w:rFonts w:eastAsiaTheme="minorEastAsia"/>
          <w:sz w:val="22"/>
          <w:szCs w:val="22"/>
          <w:lang w:val="fr-FR" w:eastAsia="en-US"/>
        </w:rPr>
        <w:t xml:space="preserve">ou </w:t>
      </w:r>
      <w:r w:rsidR="00A45F16" w:rsidRPr="00B5250C">
        <w:rPr>
          <w:rFonts w:eastAsiaTheme="minorEastAsia"/>
          <w:sz w:val="22"/>
          <w:szCs w:val="22"/>
          <w:lang w:val="fr-FR" w:eastAsia="en-US"/>
        </w:rPr>
        <w:t>lorsque les produits du crime commis dans un autre pays</w:t>
      </w:r>
      <w:r w:rsidR="00B5250C">
        <w:rPr>
          <w:rFonts w:eastAsiaTheme="minorEastAsia"/>
          <w:sz w:val="22"/>
          <w:szCs w:val="22"/>
          <w:lang w:val="fr-FR" w:eastAsia="en-US"/>
        </w:rPr>
        <w:t>,</w:t>
      </w:r>
      <w:r w:rsidR="00A45F16" w:rsidRPr="00B5250C">
        <w:rPr>
          <w:rFonts w:eastAsiaTheme="minorEastAsia"/>
          <w:sz w:val="22"/>
          <w:szCs w:val="22"/>
          <w:lang w:val="fr-FR" w:eastAsia="en-US"/>
        </w:rPr>
        <w:t xml:space="preserve"> sont blanchis sur le territoire </w:t>
      </w:r>
      <w:r w:rsidR="00142C35">
        <w:rPr>
          <w:rFonts w:eastAsiaTheme="minorEastAsia"/>
          <w:sz w:val="22"/>
          <w:szCs w:val="22"/>
          <w:lang w:val="fr-FR" w:eastAsia="en-US"/>
        </w:rPr>
        <w:t>i</w:t>
      </w:r>
      <w:r w:rsidR="00A45F16" w:rsidRPr="00B5250C">
        <w:rPr>
          <w:rFonts w:eastAsiaTheme="minorEastAsia"/>
          <w:sz w:val="22"/>
          <w:szCs w:val="22"/>
          <w:lang w:val="fr-FR" w:eastAsia="en-US"/>
        </w:rPr>
        <w:t>voirien.</w:t>
      </w:r>
    </w:p>
    <w:p w14:paraId="56DA41AD" w14:textId="10FBF084" w:rsidR="0066246F" w:rsidRPr="00147FD3" w:rsidRDefault="004751E3" w:rsidP="00DD206B">
      <w:pPr>
        <w:tabs>
          <w:tab w:val="left" w:pos="567"/>
        </w:tabs>
        <w:spacing w:before="240" w:after="120" w:line="360" w:lineRule="auto"/>
        <w:jc w:val="both"/>
        <w:rPr>
          <w:rFonts w:cs="Times New Roman"/>
          <w:sz w:val="22"/>
          <w:szCs w:val="22"/>
        </w:rPr>
      </w:pPr>
      <w:r>
        <w:rPr>
          <w:rFonts w:cs="Times New Roman"/>
          <w:sz w:val="22"/>
          <w:szCs w:val="22"/>
        </w:rPr>
        <w:t>En ce qui concerne l</w:t>
      </w:r>
      <w:r w:rsidR="002E3C92">
        <w:rPr>
          <w:rFonts w:cs="Times New Roman"/>
          <w:sz w:val="22"/>
          <w:szCs w:val="22"/>
        </w:rPr>
        <w:t>a menace d</w:t>
      </w:r>
      <w:r>
        <w:rPr>
          <w:rFonts w:cs="Times New Roman"/>
          <w:sz w:val="22"/>
          <w:szCs w:val="22"/>
        </w:rPr>
        <w:t xml:space="preserve">e blanchiment de capitaux dit autonome, </w:t>
      </w:r>
      <w:r w:rsidR="004E1AC4">
        <w:rPr>
          <w:rFonts w:cs="Times New Roman"/>
          <w:sz w:val="22"/>
          <w:szCs w:val="22"/>
        </w:rPr>
        <w:t xml:space="preserve">l’infraction </w:t>
      </w:r>
      <w:r w:rsidR="00A63603">
        <w:rPr>
          <w:rFonts w:cs="Times New Roman"/>
          <w:sz w:val="22"/>
          <w:szCs w:val="22"/>
        </w:rPr>
        <w:t xml:space="preserve">est constituée même si l’infraction </w:t>
      </w:r>
      <w:r w:rsidR="004E1AC4">
        <w:rPr>
          <w:rFonts w:cs="Times New Roman"/>
          <w:sz w:val="22"/>
          <w:szCs w:val="22"/>
        </w:rPr>
        <w:t>sous-jacente</w:t>
      </w:r>
      <w:r w:rsidR="00721AF0">
        <w:rPr>
          <w:rFonts w:cs="Times New Roman"/>
          <w:sz w:val="22"/>
          <w:szCs w:val="22"/>
        </w:rPr>
        <w:t xml:space="preserve"> </w:t>
      </w:r>
      <w:r w:rsidR="00C93EEB">
        <w:rPr>
          <w:rFonts w:cs="Times New Roman"/>
          <w:sz w:val="22"/>
          <w:szCs w:val="22"/>
        </w:rPr>
        <w:t>n</w:t>
      </w:r>
      <w:r w:rsidR="00E016F0">
        <w:rPr>
          <w:rFonts w:cs="Times New Roman"/>
          <w:sz w:val="22"/>
          <w:szCs w:val="22"/>
        </w:rPr>
        <w:t xml:space="preserve">’est pas caractérisée </w:t>
      </w:r>
      <w:r w:rsidR="002E3C92">
        <w:rPr>
          <w:rFonts w:cs="Times New Roman"/>
          <w:sz w:val="22"/>
          <w:szCs w:val="22"/>
        </w:rPr>
        <w:t xml:space="preserve">ou </w:t>
      </w:r>
      <w:r w:rsidR="00721AF0">
        <w:rPr>
          <w:rFonts w:cs="Times New Roman"/>
          <w:sz w:val="22"/>
          <w:szCs w:val="22"/>
        </w:rPr>
        <w:t xml:space="preserve">est </w:t>
      </w:r>
      <w:r w:rsidR="002E3C92">
        <w:rPr>
          <w:rFonts w:cs="Times New Roman"/>
          <w:sz w:val="22"/>
          <w:szCs w:val="22"/>
        </w:rPr>
        <w:t>prescrite</w:t>
      </w:r>
      <w:r w:rsidR="00EB6287">
        <w:rPr>
          <w:rFonts w:cs="Times New Roman"/>
          <w:sz w:val="22"/>
          <w:szCs w:val="22"/>
        </w:rPr>
        <w:t>.</w:t>
      </w:r>
    </w:p>
    <w:p w14:paraId="78B2BB6D" w14:textId="77777777" w:rsidR="00CF7B3C" w:rsidRPr="008F704B" w:rsidRDefault="00CF7B3C" w:rsidP="00DD206B">
      <w:pPr>
        <w:pStyle w:val="Titre3"/>
        <w:rPr>
          <w:sz w:val="22"/>
        </w:rPr>
      </w:pPr>
      <w:bookmarkStart w:id="5" w:name="_Toc213326898"/>
      <w:r w:rsidRPr="008F704B">
        <w:rPr>
          <w:sz w:val="22"/>
        </w:rPr>
        <w:t>Menace intérieure</w:t>
      </w:r>
      <w:bookmarkEnd w:id="5"/>
    </w:p>
    <w:p w14:paraId="7BCD3D3B" w14:textId="1DA7BC78" w:rsidR="00CF7B3C" w:rsidRPr="008F704B" w:rsidRDefault="00E944E6" w:rsidP="00DD206B">
      <w:pPr>
        <w:spacing w:line="360" w:lineRule="auto"/>
        <w:contextualSpacing/>
        <w:jc w:val="both"/>
        <w:rPr>
          <w:rFonts w:cs="Times New Roman"/>
          <w:sz w:val="22"/>
          <w:szCs w:val="22"/>
        </w:rPr>
      </w:pPr>
      <w:r>
        <w:rPr>
          <w:rFonts w:cs="Times New Roman"/>
          <w:sz w:val="22"/>
          <w:szCs w:val="22"/>
        </w:rPr>
        <w:t xml:space="preserve">La menace intérieure sera </w:t>
      </w:r>
      <w:r w:rsidRPr="008F704B">
        <w:rPr>
          <w:rFonts w:cs="Times New Roman"/>
          <w:sz w:val="22"/>
          <w:szCs w:val="22"/>
        </w:rPr>
        <w:t>évaluée</w:t>
      </w:r>
      <w:r>
        <w:rPr>
          <w:rFonts w:cs="Times New Roman"/>
          <w:sz w:val="22"/>
          <w:szCs w:val="22"/>
        </w:rPr>
        <w:t xml:space="preserve"> à travers les principales</w:t>
      </w:r>
      <w:r w:rsidRPr="008F704B">
        <w:rPr>
          <w:rFonts w:cs="Times New Roman"/>
          <w:sz w:val="22"/>
          <w:szCs w:val="22"/>
        </w:rPr>
        <w:t xml:space="preserve"> </w:t>
      </w:r>
      <w:r w:rsidR="00CF7B3C" w:rsidRPr="008F704B">
        <w:rPr>
          <w:rFonts w:cs="Times New Roman"/>
          <w:sz w:val="22"/>
          <w:szCs w:val="22"/>
        </w:rPr>
        <w:t xml:space="preserve">infractions suivantes : </w:t>
      </w:r>
    </w:p>
    <w:p w14:paraId="0BB2EB5C" w14:textId="77777777" w:rsidR="00CF7B3C" w:rsidRPr="008F704B" w:rsidRDefault="00CF7B3C" w:rsidP="00DD206B">
      <w:pPr>
        <w:tabs>
          <w:tab w:val="left" w:pos="567"/>
        </w:tabs>
        <w:spacing w:before="240" w:after="120" w:line="360" w:lineRule="auto"/>
        <w:contextualSpacing/>
        <w:jc w:val="both"/>
        <w:rPr>
          <w:rFonts w:cs="Times New Roman"/>
          <w:sz w:val="22"/>
          <w:szCs w:val="22"/>
        </w:rPr>
      </w:pPr>
      <w:r w:rsidRPr="008F704B">
        <w:rPr>
          <w:rFonts w:cs="Times New Roman"/>
          <w:sz w:val="22"/>
          <w:szCs w:val="22"/>
        </w:rPr>
        <w:t>-</w:t>
      </w:r>
      <w:r w:rsidRPr="008F704B">
        <w:rPr>
          <w:rFonts w:cs="Times New Roman"/>
          <w:sz w:val="22"/>
          <w:szCs w:val="22"/>
        </w:rPr>
        <w:tab/>
        <w:t xml:space="preserve">trafic illicite de stupéfiants ; </w:t>
      </w:r>
    </w:p>
    <w:p w14:paraId="69FBE3B0" w14:textId="77777777" w:rsidR="00CF7B3C" w:rsidRPr="008F704B" w:rsidRDefault="00CF7B3C" w:rsidP="00DD206B">
      <w:pPr>
        <w:tabs>
          <w:tab w:val="left" w:pos="567"/>
        </w:tabs>
        <w:spacing w:before="240" w:after="120" w:line="360" w:lineRule="auto"/>
        <w:contextualSpacing/>
        <w:jc w:val="both"/>
        <w:rPr>
          <w:rFonts w:cs="Times New Roman"/>
          <w:sz w:val="22"/>
          <w:szCs w:val="22"/>
        </w:rPr>
      </w:pPr>
      <w:r w:rsidRPr="008F704B">
        <w:rPr>
          <w:rFonts w:cs="Times New Roman"/>
          <w:sz w:val="22"/>
          <w:szCs w:val="22"/>
        </w:rPr>
        <w:t>-</w:t>
      </w:r>
      <w:r w:rsidRPr="008F704B">
        <w:rPr>
          <w:rFonts w:cs="Times New Roman"/>
          <w:sz w:val="22"/>
          <w:szCs w:val="22"/>
        </w:rPr>
        <w:tab/>
        <w:t xml:space="preserve">corruption et infractions assimilées ; </w:t>
      </w:r>
    </w:p>
    <w:p w14:paraId="7F5ACAC6" w14:textId="77777777" w:rsidR="00CF7B3C" w:rsidRPr="008F704B" w:rsidRDefault="00CF7B3C" w:rsidP="00DD206B">
      <w:pPr>
        <w:tabs>
          <w:tab w:val="left" w:pos="567"/>
        </w:tabs>
        <w:spacing w:before="240" w:after="120" w:line="360" w:lineRule="auto"/>
        <w:contextualSpacing/>
        <w:jc w:val="both"/>
        <w:rPr>
          <w:rFonts w:cs="Times New Roman"/>
          <w:sz w:val="22"/>
          <w:szCs w:val="22"/>
        </w:rPr>
      </w:pPr>
      <w:r w:rsidRPr="008F704B">
        <w:rPr>
          <w:rFonts w:cs="Times New Roman"/>
          <w:sz w:val="22"/>
          <w:szCs w:val="22"/>
        </w:rPr>
        <w:t>-</w:t>
      </w:r>
      <w:r w:rsidRPr="008F704B">
        <w:rPr>
          <w:rFonts w:cs="Times New Roman"/>
          <w:sz w:val="22"/>
          <w:szCs w:val="22"/>
        </w:rPr>
        <w:tab/>
        <w:t xml:space="preserve">cybercriminalité ; </w:t>
      </w:r>
    </w:p>
    <w:p w14:paraId="59220716" w14:textId="77777777" w:rsidR="00CF7B3C" w:rsidRPr="008F704B" w:rsidRDefault="00CF7B3C" w:rsidP="00DD206B">
      <w:pPr>
        <w:tabs>
          <w:tab w:val="left" w:pos="567"/>
        </w:tabs>
        <w:spacing w:before="240" w:after="120" w:line="360" w:lineRule="auto"/>
        <w:contextualSpacing/>
        <w:jc w:val="both"/>
        <w:rPr>
          <w:rFonts w:cs="Times New Roman"/>
          <w:sz w:val="22"/>
          <w:szCs w:val="22"/>
        </w:rPr>
      </w:pPr>
      <w:r w:rsidRPr="008F704B">
        <w:rPr>
          <w:rFonts w:cs="Times New Roman"/>
          <w:sz w:val="22"/>
          <w:szCs w:val="22"/>
        </w:rPr>
        <w:t>-</w:t>
      </w:r>
      <w:r w:rsidRPr="008F704B">
        <w:rPr>
          <w:rFonts w:cs="Times New Roman"/>
          <w:sz w:val="22"/>
          <w:szCs w:val="22"/>
        </w:rPr>
        <w:tab/>
        <w:t xml:space="preserve">fraude fiscale ; </w:t>
      </w:r>
    </w:p>
    <w:p w14:paraId="0976CC42" w14:textId="2A439847" w:rsidR="00CF7B3C" w:rsidRPr="008F704B" w:rsidRDefault="00CF7B3C" w:rsidP="00DD206B">
      <w:pPr>
        <w:tabs>
          <w:tab w:val="left" w:pos="567"/>
        </w:tabs>
        <w:spacing w:before="240" w:after="120" w:line="360" w:lineRule="auto"/>
        <w:contextualSpacing/>
        <w:jc w:val="both"/>
        <w:rPr>
          <w:rFonts w:cs="Times New Roman"/>
          <w:sz w:val="22"/>
          <w:szCs w:val="22"/>
        </w:rPr>
      </w:pPr>
      <w:r w:rsidRPr="008F704B">
        <w:rPr>
          <w:rFonts w:cs="Times New Roman"/>
          <w:sz w:val="22"/>
          <w:szCs w:val="22"/>
        </w:rPr>
        <w:t>-</w:t>
      </w:r>
      <w:r w:rsidRPr="008F704B">
        <w:rPr>
          <w:rFonts w:cs="Times New Roman"/>
          <w:sz w:val="22"/>
          <w:szCs w:val="22"/>
        </w:rPr>
        <w:tab/>
        <w:t xml:space="preserve">infractions environnementales (trafic d’espèces sauvages et orpaillage illégal).  </w:t>
      </w:r>
      <w:r w:rsidR="00904700">
        <w:rPr>
          <w:rFonts w:cs="Times New Roman"/>
          <w:sz w:val="22"/>
          <w:szCs w:val="22"/>
        </w:rPr>
        <w:br/>
      </w:r>
      <w:r w:rsidR="00904700">
        <w:rPr>
          <w:rFonts w:cs="Times New Roman"/>
          <w:sz w:val="22"/>
          <w:szCs w:val="22"/>
        </w:rPr>
        <w:br/>
      </w:r>
    </w:p>
    <w:p w14:paraId="2D86BDB8" w14:textId="77777777" w:rsidR="00CF7B3C" w:rsidRPr="008F704B" w:rsidRDefault="00CF7B3C" w:rsidP="00DD206B">
      <w:pPr>
        <w:pStyle w:val="Titre4"/>
        <w:rPr>
          <w:sz w:val="22"/>
        </w:rPr>
      </w:pPr>
      <w:r w:rsidRPr="008F704B">
        <w:rPr>
          <w:sz w:val="22"/>
        </w:rPr>
        <w:t>Evaluation de la menace liée au trafic illicite de stupéfiants</w:t>
      </w:r>
    </w:p>
    <w:p w14:paraId="7D85D2B3" w14:textId="60AF235E" w:rsidR="002827C7" w:rsidRPr="002827C7" w:rsidRDefault="002827C7" w:rsidP="00DD206B">
      <w:pPr>
        <w:tabs>
          <w:tab w:val="left" w:pos="567"/>
        </w:tabs>
        <w:spacing w:before="240" w:after="120" w:line="360" w:lineRule="auto"/>
        <w:contextualSpacing/>
        <w:jc w:val="both"/>
        <w:rPr>
          <w:rFonts w:cs="Times New Roman"/>
          <w:sz w:val="22"/>
          <w:szCs w:val="22"/>
        </w:rPr>
      </w:pPr>
      <w:r w:rsidRPr="002827C7">
        <w:rPr>
          <w:rFonts w:cs="Times New Roman"/>
          <w:sz w:val="22"/>
          <w:szCs w:val="22"/>
        </w:rPr>
        <w:lastRenderedPageBreak/>
        <w:t>En 2019, l’ENR a relevé que la menace liée au trafic de stupéfiants était « élevée ». Cette tendance s’est confirmée au fil des années à travers les données recueillies par les différentes structures nationales.</w:t>
      </w:r>
    </w:p>
    <w:p w14:paraId="68437CF8" w14:textId="702BB6DF" w:rsidR="002827C7" w:rsidRPr="002827C7" w:rsidRDefault="002827C7" w:rsidP="00DD206B">
      <w:pPr>
        <w:tabs>
          <w:tab w:val="left" w:pos="567"/>
        </w:tabs>
        <w:spacing w:before="240" w:after="120" w:line="360" w:lineRule="auto"/>
        <w:contextualSpacing/>
        <w:jc w:val="both"/>
        <w:rPr>
          <w:rFonts w:cs="Times New Roman"/>
          <w:sz w:val="22"/>
          <w:szCs w:val="22"/>
        </w:rPr>
      </w:pPr>
      <w:r w:rsidRPr="002827C7">
        <w:rPr>
          <w:rFonts w:cs="Times New Roman"/>
          <w:sz w:val="22"/>
          <w:szCs w:val="22"/>
        </w:rPr>
        <w:t>Ainsi, de juin 2022 à mai 2024, la CENTIF a enregistré 36 DOS relati</w:t>
      </w:r>
      <w:r w:rsidR="00C23964">
        <w:rPr>
          <w:rFonts w:cs="Times New Roman"/>
          <w:sz w:val="22"/>
          <w:szCs w:val="22"/>
        </w:rPr>
        <w:t>ve</w:t>
      </w:r>
      <w:r w:rsidRPr="002827C7">
        <w:rPr>
          <w:rFonts w:cs="Times New Roman"/>
          <w:sz w:val="22"/>
          <w:szCs w:val="22"/>
        </w:rPr>
        <w:t xml:space="preserve">s au trafic </w:t>
      </w:r>
      <w:r w:rsidR="00A63603">
        <w:rPr>
          <w:rFonts w:cs="Times New Roman"/>
          <w:sz w:val="22"/>
          <w:szCs w:val="22"/>
        </w:rPr>
        <w:t xml:space="preserve">illicite </w:t>
      </w:r>
      <w:r w:rsidRPr="002827C7">
        <w:rPr>
          <w:rFonts w:cs="Times New Roman"/>
          <w:sz w:val="22"/>
          <w:szCs w:val="22"/>
        </w:rPr>
        <w:t>de stupéfiants. Par la suite, entre septembre 2024 et février 2025, elle a diffusé 2 informations à l’U</w:t>
      </w:r>
      <w:r w:rsidR="00AA1D75">
        <w:rPr>
          <w:rFonts w:cs="Times New Roman"/>
          <w:sz w:val="22"/>
          <w:szCs w:val="22"/>
        </w:rPr>
        <w:t xml:space="preserve">nité de lutte contre la Criminalité </w:t>
      </w:r>
      <w:r w:rsidRPr="002827C7">
        <w:rPr>
          <w:rFonts w:cs="Times New Roman"/>
          <w:sz w:val="22"/>
          <w:szCs w:val="22"/>
        </w:rPr>
        <w:t>T</w:t>
      </w:r>
      <w:r w:rsidR="00AA1D75">
        <w:rPr>
          <w:rFonts w:cs="Times New Roman"/>
          <w:sz w:val="22"/>
          <w:szCs w:val="22"/>
        </w:rPr>
        <w:t>ransnationale organisée (UCT)</w:t>
      </w:r>
      <w:r w:rsidRPr="002827C7">
        <w:rPr>
          <w:rFonts w:cs="Times New Roman"/>
          <w:sz w:val="22"/>
          <w:szCs w:val="22"/>
        </w:rPr>
        <w:t xml:space="preserve"> et 10 à la D</w:t>
      </w:r>
      <w:r w:rsidR="001F3DD8">
        <w:rPr>
          <w:rFonts w:cs="Times New Roman"/>
          <w:sz w:val="22"/>
          <w:szCs w:val="22"/>
        </w:rPr>
        <w:t xml:space="preserve">irection de la </w:t>
      </w:r>
      <w:r w:rsidRPr="002827C7">
        <w:rPr>
          <w:rFonts w:cs="Times New Roman"/>
          <w:sz w:val="22"/>
          <w:szCs w:val="22"/>
        </w:rPr>
        <w:t>P</w:t>
      </w:r>
      <w:r w:rsidR="001F3DD8">
        <w:rPr>
          <w:rFonts w:cs="Times New Roman"/>
          <w:sz w:val="22"/>
          <w:szCs w:val="22"/>
        </w:rPr>
        <w:t xml:space="preserve">olice des </w:t>
      </w:r>
      <w:r w:rsidRPr="002827C7">
        <w:rPr>
          <w:rFonts w:cs="Times New Roman"/>
          <w:sz w:val="22"/>
          <w:szCs w:val="22"/>
        </w:rPr>
        <w:t>S</w:t>
      </w:r>
      <w:r w:rsidR="001F3DD8">
        <w:rPr>
          <w:rFonts w:cs="Times New Roman"/>
          <w:sz w:val="22"/>
          <w:szCs w:val="22"/>
        </w:rPr>
        <w:t xml:space="preserve">tupéfiants et des </w:t>
      </w:r>
      <w:r w:rsidRPr="002827C7">
        <w:rPr>
          <w:rFonts w:cs="Times New Roman"/>
          <w:sz w:val="22"/>
          <w:szCs w:val="22"/>
        </w:rPr>
        <w:t>D</w:t>
      </w:r>
      <w:r w:rsidR="001F3DD8">
        <w:rPr>
          <w:rFonts w:cs="Times New Roman"/>
          <w:sz w:val="22"/>
          <w:szCs w:val="22"/>
        </w:rPr>
        <w:t>rogues (DPSD)</w:t>
      </w:r>
      <w:r w:rsidRPr="002827C7">
        <w:rPr>
          <w:rFonts w:cs="Times New Roman"/>
          <w:sz w:val="22"/>
          <w:szCs w:val="22"/>
        </w:rPr>
        <w:t xml:space="preserve"> sur ce même phénomène criminel. De mars à </w:t>
      </w:r>
      <w:r w:rsidR="00A84B15">
        <w:rPr>
          <w:rFonts w:cs="Times New Roman"/>
          <w:sz w:val="22"/>
          <w:szCs w:val="22"/>
        </w:rPr>
        <w:t>juillet</w:t>
      </w:r>
      <w:r w:rsidRPr="002827C7">
        <w:rPr>
          <w:rFonts w:cs="Times New Roman"/>
          <w:sz w:val="22"/>
          <w:szCs w:val="22"/>
        </w:rPr>
        <w:t xml:space="preserve"> 2025, à la demande de la DPSD, la CENTIF a encore procédé à 1</w:t>
      </w:r>
      <w:r w:rsidR="00A84B15">
        <w:rPr>
          <w:rFonts w:cs="Times New Roman"/>
          <w:sz w:val="22"/>
          <w:szCs w:val="22"/>
        </w:rPr>
        <w:t>4</w:t>
      </w:r>
      <w:r w:rsidRPr="002827C7">
        <w:rPr>
          <w:rFonts w:cs="Times New Roman"/>
          <w:sz w:val="22"/>
          <w:szCs w:val="22"/>
        </w:rPr>
        <w:t xml:space="preserve"> diffusions supplémentaires, témoignant de l’importance des flux d’informations liés à cette infraction.</w:t>
      </w:r>
    </w:p>
    <w:p w14:paraId="140356AF" w14:textId="384F6099" w:rsidR="009B392F" w:rsidRDefault="009B392F" w:rsidP="00DD206B">
      <w:pPr>
        <w:tabs>
          <w:tab w:val="left" w:pos="567"/>
        </w:tabs>
        <w:spacing w:before="240" w:after="120" w:line="360" w:lineRule="auto"/>
        <w:contextualSpacing/>
        <w:jc w:val="both"/>
        <w:rPr>
          <w:rFonts w:cs="Times New Roman"/>
          <w:sz w:val="22"/>
          <w:szCs w:val="22"/>
        </w:rPr>
      </w:pPr>
      <w:r w:rsidRPr="00AF60EC">
        <w:rPr>
          <w:rFonts w:cs="Times New Roman"/>
          <w:sz w:val="22"/>
          <w:szCs w:val="22"/>
        </w:rPr>
        <w:t>L’action judiciaire a également connu une intensification notable.</w:t>
      </w:r>
      <w:r>
        <w:rPr>
          <w:rFonts w:cs="Times New Roman"/>
          <w:sz w:val="22"/>
          <w:szCs w:val="22"/>
        </w:rPr>
        <w:t xml:space="preserve"> Ainsi, e</w:t>
      </w:r>
      <w:r w:rsidRPr="002827C7">
        <w:rPr>
          <w:rFonts w:cs="Times New Roman"/>
          <w:sz w:val="22"/>
          <w:szCs w:val="22"/>
        </w:rPr>
        <w:t>ntre 2022 et 2024</w:t>
      </w:r>
      <w:r>
        <w:rPr>
          <w:rFonts w:cs="Times New Roman"/>
          <w:sz w:val="22"/>
          <w:szCs w:val="22"/>
        </w:rPr>
        <w:t xml:space="preserve">, </w:t>
      </w:r>
      <w:r w:rsidR="002827C7" w:rsidRPr="002827C7">
        <w:rPr>
          <w:rFonts w:cs="Times New Roman"/>
          <w:sz w:val="22"/>
          <w:szCs w:val="22"/>
        </w:rPr>
        <w:t xml:space="preserve">le PPEF </w:t>
      </w:r>
      <w:r w:rsidR="00C23964" w:rsidRPr="002827C7">
        <w:rPr>
          <w:rFonts w:cs="Times New Roman"/>
          <w:sz w:val="22"/>
          <w:szCs w:val="22"/>
        </w:rPr>
        <w:t>a</w:t>
      </w:r>
      <w:r>
        <w:rPr>
          <w:rFonts w:cs="Times New Roman"/>
          <w:sz w:val="22"/>
          <w:szCs w:val="22"/>
        </w:rPr>
        <w:t xml:space="preserve"> </w:t>
      </w:r>
      <w:r w:rsidR="002827C7" w:rsidRPr="002827C7">
        <w:rPr>
          <w:rFonts w:cs="Times New Roman"/>
          <w:sz w:val="22"/>
          <w:szCs w:val="22"/>
        </w:rPr>
        <w:t>traité 43 dossiers liés au trafic illicite de stupéfiants</w:t>
      </w:r>
      <w:r>
        <w:rPr>
          <w:rFonts w:cs="Times New Roman"/>
          <w:sz w:val="22"/>
          <w:szCs w:val="22"/>
        </w:rPr>
        <w:t xml:space="preserve">. </w:t>
      </w:r>
    </w:p>
    <w:p w14:paraId="1E755D0E" w14:textId="7527657B" w:rsidR="002827C7" w:rsidRPr="002827C7" w:rsidRDefault="009B392F" w:rsidP="00AF0706">
      <w:pPr>
        <w:tabs>
          <w:tab w:val="left" w:pos="567"/>
        </w:tabs>
        <w:spacing w:before="240" w:after="120" w:line="360" w:lineRule="auto"/>
        <w:contextualSpacing/>
        <w:jc w:val="both"/>
        <w:rPr>
          <w:rFonts w:cs="Times New Roman"/>
          <w:sz w:val="22"/>
          <w:szCs w:val="22"/>
        </w:rPr>
      </w:pPr>
      <w:r w:rsidRPr="00AF60EC">
        <w:rPr>
          <w:rFonts w:cs="Times New Roman"/>
          <w:sz w:val="22"/>
          <w:szCs w:val="22"/>
        </w:rPr>
        <w:t xml:space="preserve">De janvier 2024 </w:t>
      </w:r>
      <w:r w:rsidR="00A41273">
        <w:rPr>
          <w:rFonts w:cs="Times New Roman"/>
          <w:sz w:val="22"/>
          <w:szCs w:val="22"/>
        </w:rPr>
        <w:t xml:space="preserve">à </w:t>
      </w:r>
      <w:r w:rsidRPr="00AF60EC">
        <w:rPr>
          <w:rFonts w:cs="Times New Roman"/>
          <w:sz w:val="22"/>
          <w:szCs w:val="22"/>
        </w:rPr>
        <w:t>mars 2025, 210 personnes ont été poursuivies dans le cadre de 48 procédures pour blanchiment de capitaux et trafic de drogue, dont 35 dossiers ouverts en seulement six mois impliquant 140 personnes. Du 1er avril au 3</w:t>
      </w:r>
      <w:r>
        <w:rPr>
          <w:rFonts w:cs="Times New Roman"/>
          <w:sz w:val="22"/>
          <w:szCs w:val="22"/>
        </w:rPr>
        <w:t>1</w:t>
      </w:r>
      <w:r w:rsidRPr="00AF60EC">
        <w:rPr>
          <w:rFonts w:cs="Times New Roman"/>
          <w:sz w:val="22"/>
          <w:szCs w:val="22"/>
        </w:rPr>
        <w:t xml:space="preserve"> jui</w:t>
      </w:r>
      <w:r>
        <w:rPr>
          <w:rFonts w:cs="Times New Roman"/>
          <w:sz w:val="22"/>
          <w:szCs w:val="22"/>
        </w:rPr>
        <w:t>llet</w:t>
      </w:r>
      <w:r w:rsidRPr="00AF60EC">
        <w:rPr>
          <w:rFonts w:cs="Times New Roman"/>
          <w:sz w:val="22"/>
          <w:szCs w:val="22"/>
        </w:rPr>
        <w:t xml:space="preserve"> 2025, </w:t>
      </w:r>
      <w:r>
        <w:rPr>
          <w:rFonts w:cs="Times New Roman"/>
          <w:sz w:val="22"/>
          <w:szCs w:val="22"/>
        </w:rPr>
        <w:t>20</w:t>
      </w:r>
      <w:r w:rsidRPr="00AF60EC">
        <w:rPr>
          <w:rFonts w:cs="Times New Roman"/>
          <w:sz w:val="22"/>
          <w:szCs w:val="22"/>
        </w:rPr>
        <w:t xml:space="preserve"> nouvelles affaires de blanchiment de capitaux en lien avec le trafic </w:t>
      </w:r>
      <w:r w:rsidR="003302F2">
        <w:rPr>
          <w:rFonts w:cs="Times New Roman"/>
          <w:sz w:val="22"/>
          <w:szCs w:val="22"/>
        </w:rPr>
        <w:t xml:space="preserve">illicite </w:t>
      </w:r>
      <w:r w:rsidRPr="00AF60EC">
        <w:rPr>
          <w:rFonts w:cs="Times New Roman"/>
          <w:sz w:val="22"/>
          <w:szCs w:val="22"/>
        </w:rPr>
        <w:t>de stupéfiants</w:t>
      </w:r>
      <w:r w:rsidR="004E7CFD">
        <w:rPr>
          <w:rFonts w:cs="Times New Roman"/>
          <w:sz w:val="22"/>
          <w:szCs w:val="22"/>
        </w:rPr>
        <w:t>,</w:t>
      </w:r>
      <w:r w:rsidRPr="00AF60EC">
        <w:rPr>
          <w:rFonts w:cs="Times New Roman"/>
          <w:sz w:val="22"/>
          <w:szCs w:val="22"/>
        </w:rPr>
        <w:t xml:space="preserve"> ont été poursuivies</w:t>
      </w:r>
      <w:r>
        <w:rPr>
          <w:rFonts w:cs="Times New Roman"/>
          <w:sz w:val="22"/>
          <w:szCs w:val="22"/>
        </w:rPr>
        <w:t xml:space="preserve"> par le PPEF</w:t>
      </w:r>
      <w:r w:rsidRPr="00AF60EC">
        <w:rPr>
          <w:rFonts w:cs="Times New Roman"/>
          <w:sz w:val="22"/>
          <w:szCs w:val="22"/>
        </w:rPr>
        <w:t xml:space="preserve">, impliquant </w:t>
      </w:r>
      <w:r>
        <w:rPr>
          <w:rFonts w:cs="Times New Roman"/>
          <w:sz w:val="22"/>
          <w:szCs w:val="22"/>
        </w:rPr>
        <w:t>62</w:t>
      </w:r>
      <w:r w:rsidRPr="00AF60EC">
        <w:rPr>
          <w:rFonts w:cs="Times New Roman"/>
          <w:sz w:val="22"/>
          <w:szCs w:val="22"/>
        </w:rPr>
        <w:t xml:space="preserve"> personnes physiques</w:t>
      </w:r>
      <w:r>
        <w:rPr>
          <w:rFonts w:cs="Times New Roman"/>
          <w:sz w:val="22"/>
          <w:szCs w:val="22"/>
        </w:rPr>
        <w:t>. Ce qui confirme</w:t>
      </w:r>
      <w:r w:rsidRPr="002827C7">
        <w:rPr>
          <w:rFonts w:cs="Times New Roman"/>
          <w:sz w:val="22"/>
          <w:szCs w:val="22"/>
        </w:rPr>
        <w:t xml:space="preserve"> la persistance et la gravité de</w:t>
      </w:r>
      <w:r w:rsidR="00857630">
        <w:rPr>
          <w:rFonts w:cs="Times New Roman"/>
          <w:sz w:val="22"/>
          <w:szCs w:val="22"/>
        </w:rPr>
        <w:t xml:space="preserve"> cette</w:t>
      </w:r>
      <w:r w:rsidRPr="002827C7">
        <w:rPr>
          <w:rFonts w:cs="Times New Roman"/>
          <w:sz w:val="22"/>
          <w:szCs w:val="22"/>
        </w:rPr>
        <w:t xml:space="preserve"> menace.</w:t>
      </w:r>
    </w:p>
    <w:p w14:paraId="188A87FB" w14:textId="3F01B23C" w:rsidR="002827C7" w:rsidRPr="002827C7" w:rsidRDefault="002827C7" w:rsidP="00DD206B">
      <w:pPr>
        <w:tabs>
          <w:tab w:val="left" w:pos="567"/>
        </w:tabs>
        <w:spacing w:before="240" w:after="120" w:line="360" w:lineRule="auto"/>
        <w:contextualSpacing/>
        <w:jc w:val="both"/>
        <w:rPr>
          <w:rFonts w:cs="Times New Roman"/>
          <w:sz w:val="22"/>
          <w:szCs w:val="22"/>
        </w:rPr>
      </w:pPr>
      <w:r w:rsidRPr="002827C7">
        <w:rPr>
          <w:rFonts w:cs="Times New Roman"/>
          <w:sz w:val="22"/>
          <w:szCs w:val="22"/>
        </w:rPr>
        <w:t xml:space="preserve">De son côté, le Comité Interministériel de Lutte Anti-Drogue (CILAD), organe chargé de la coordination et de la supervision des structures nationales de lutte contre la drogue, a centralisé les statistiques émanant de la police, des douanes, de la gendarmerie, de l’UCT et de la </w:t>
      </w:r>
      <w:r w:rsidR="00F141AC">
        <w:rPr>
          <w:rFonts w:cs="Times New Roman"/>
          <w:sz w:val="22"/>
          <w:szCs w:val="22"/>
        </w:rPr>
        <w:t>Cellule Aéroportuaire Anti-Trafic</w:t>
      </w:r>
      <w:r w:rsidR="00902F67">
        <w:rPr>
          <w:rFonts w:cs="Times New Roman"/>
          <w:sz w:val="22"/>
          <w:szCs w:val="22"/>
        </w:rPr>
        <w:t>s</w:t>
      </w:r>
      <w:r w:rsidR="00F141AC">
        <w:rPr>
          <w:rFonts w:cs="Times New Roman"/>
          <w:sz w:val="22"/>
          <w:szCs w:val="22"/>
        </w:rPr>
        <w:t xml:space="preserve"> (</w:t>
      </w:r>
      <w:r w:rsidRPr="002827C7">
        <w:rPr>
          <w:rFonts w:cs="Times New Roman"/>
          <w:sz w:val="22"/>
          <w:szCs w:val="22"/>
        </w:rPr>
        <w:t>CAAT</w:t>
      </w:r>
      <w:r w:rsidR="00F141AC">
        <w:rPr>
          <w:rFonts w:cs="Times New Roman"/>
          <w:sz w:val="22"/>
          <w:szCs w:val="22"/>
        </w:rPr>
        <w:t>)</w:t>
      </w:r>
      <w:r w:rsidRPr="002827C7">
        <w:rPr>
          <w:rFonts w:cs="Times New Roman"/>
          <w:sz w:val="22"/>
          <w:szCs w:val="22"/>
        </w:rPr>
        <w:t xml:space="preserve">. En 2022, il a recensé 17,128 tonnes de drogues (cannabis, cocaïne, héroïne, khat, méthamphétamine), procédé à la destruction de 8 plantations de cannabis couvrant une superficie estimée à 6 hectares, ainsi qu’à la neutralisation de 1513 fumoirs. La même année, le CILAD a comptabilisé 878 affaires traitées, 4589 personnes interpellées et 2798 déférées pour des infractions liées à la consommation, au trafic, à la détention, à la vente et à la production de drogue. Les saisies de produits pharmaceutiques détournés à des fins toxicomaniaques se sont élevées à 396 kilogrammes (éphédrine, Rivotril et valium, </w:t>
      </w:r>
      <w:proofErr w:type="spellStart"/>
      <w:r w:rsidRPr="002827C7">
        <w:rPr>
          <w:rFonts w:cs="Times New Roman"/>
          <w:sz w:val="22"/>
          <w:szCs w:val="22"/>
        </w:rPr>
        <w:t>tramadol</w:t>
      </w:r>
      <w:proofErr w:type="spellEnd"/>
      <w:r w:rsidRPr="002827C7">
        <w:rPr>
          <w:rFonts w:cs="Times New Roman"/>
          <w:sz w:val="22"/>
          <w:szCs w:val="22"/>
        </w:rPr>
        <w:t>, protoxyde d’azote).</w:t>
      </w:r>
    </w:p>
    <w:p w14:paraId="38A50997" w14:textId="3A29FBBD" w:rsidR="002827C7" w:rsidRPr="002827C7" w:rsidRDefault="002827C7" w:rsidP="00DD206B">
      <w:pPr>
        <w:tabs>
          <w:tab w:val="left" w:pos="567"/>
        </w:tabs>
        <w:spacing w:before="240" w:after="120" w:line="360" w:lineRule="auto"/>
        <w:contextualSpacing/>
        <w:jc w:val="both"/>
        <w:rPr>
          <w:rFonts w:cs="Times New Roman"/>
          <w:sz w:val="22"/>
          <w:szCs w:val="22"/>
        </w:rPr>
      </w:pPr>
      <w:r w:rsidRPr="002827C7">
        <w:rPr>
          <w:rFonts w:cs="Times New Roman"/>
          <w:sz w:val="22"/>
          <w:szCs w:val="22"/>
        </w:rPr>
        <w:t>En 2023, le CILAD a identifié 13,309 tonnes de drogues, détruit 12 plantations de cannabis (14 hectares 50 m² et 3997 plants) ainsi que 1181 fumoirs. Il a recensé 1832 affaires traitées, 5979 personnes interpellées et 2613 déférées. Les saisies de produits pharmaceutiques détournés ont atteint 273 kilogrammes. Ces chiffres illustrent une intensification de la lutte mais également une augmentation des volumes détectés, confirmant la gravité du phénomène.</w:t>
      </w:r>
    </w:p>
    <w:p w14:paraId="45066E53" w14:textId="6B317329" w:rsidR="002827C7" w:rsidRDefault="002827C7" w:rsidP="00DD206B">
      <w:pPr>
        <w:tabs>
          <w:tab w:val="left" w:pos="567"/>
        </w:tabs>
        <w:spacing w:before="240" w:after="120" w:line="360" w:lineRule="auto"/>
        <w:contextualSpacing/>
        <w:jc w:val="both"/>
        <w:rPr>
          <w:rFonts w:cs="Times New Roman"/>
          <w:sz w:val="22"/>
          <w:szCs w:val="22"/>
        </w:rPr>
      </w:pPr>
      <w:r w:rsidRPr="002827C7">
        <w:rPr>
          <w:rFonts w:cs="Times New Roman"/>
          <w:sz w:val="22"/>
          <w:szCs w:val="22"/>
        </w:rPr>
        <w:t xml:space="preserve">Au cours de la période allant de septembre 2024 à </w:t>
      </w:r>
      <w:r w:rsidR="007E5FFA">
        <w:rPr>
          <w:rFonts w:cs="Times New Roman"/>
          <w:sz w:val="22"/>
          <w:szCs w:val="22"/>
        </w:rPr>
        <w:t>juillet</w:t>
      </w:r>
      <w:r w:rsidRPr="002827C7">
        <w:rPr>
          <w:rFonts w:cs="Times New Roman"/>
          <w:sz w:val="22"/>
          <w:szCs w:val="22"/>
        </w:rPr>
        <w:t xml:space="preserve"> 2025, l’UCT a adressé aux </w:t>
      </w:r>
      <w:r w:rsidR="00C502F4">
        <w:rPr>
          <w:rFonts w:cs="Times New Roman"/>
          <w:sz w:val="22"/>
          <w:szCs w:val="22"/>
        </w:rPr>
        <w:t>I</w:t>
      </w:r>
      <w:r w:rsidRPr="002827C7">
        <w:rPr>
          <w:rFonts w:cs="Times New Roman"/>
          <w:sz w:val="22"/>
          <w:szCs w:val="22"/>
        </w:rPr>
        <w:t xml:space="preserve">nstitutions </w:t>
      </w:r>
      <w:r w:rsidR="00C502F4">
        <w:rPr>
          <w:rFonts w:cs="Times New Roman"/>
          <w:sz w:val="22"/>
          <w:szCs w:val="22"/>
        </w:rPr>
        <w:t>F</w:t>
      </w:r>
      <w:r w:rsidRPr="002827C7">
        <w:rPr>
          <w:rFonts w:cs="Times New Roman"/>
          <w:sz w:val="22"/>
          <w:szCs w:val="22"/>
        </w:rPr>
        <w:t xml:space="preserve">inancières </w:t>
      </w:r>
      <w:r w:rsidR="00C502F4">
        <w:rPr>
          <w:rFonts w:cs="Times New Roman"/>
          <w:sz w:val="22"/>
          <w:szCs w:val="22"/>
        </w:rPr>
        <w:t xml:space="preserve">(IF) </w:t>
      </w:r>
      <w:r w:rsidRPr="002827C7">
        <w:rPr>
          <w:rFonts w:cs="Times New Roman"/>
          <w:sz w:val="22"/>
          <w:szCs w:val="22"/>
        </w:rPr>
        <w:t>et à certaines E</w:t>
      </w:r>
      <w:r w:rsidR="00C502F4">
        <w:rPr>
          <w:rFonts w:cs="Times New Roman"/>
          <w:sz w:val="22"/>
          <w:szCs w:val="22"/>
        </w:rPr>
        <w:t>ntreprises</w:t>
      </w:r>
      <w:r w:rsidR="00EB2399">
        <w:rPr>
          <w:rFonts w:cs="Times New Roman"/>
          <w:sz w:val="22"/>
          <w:szCs w:val="22"/>
        </w:rPr>
        <w:t xml:space="preserve"> </w:t>
      </w:r>
      <w:r w:rsidR="00C502F4">
        <w:rPr>
          <w:rFonts w:cs="Times New Roman"/>
          <w:sz w:val="22"/>
          <w:szCs w:val="22"/>
        </w:rPr>
        <w:t xml:space="preserve">et </w:t>
      </w:r>
      <w:r w:rsidRPr="002827C7">
        <w:rPr>
          <w:rFonts w:cs="Times New Roman"/>
          <w:sz w:val="22"/>
          <w:szCs w:val="22"/>
        </w:rPr>
        <w:t>P</w:t>
      </w:r>
      <w:r w:rsidR="00C502F4">
        <w:rPr>
          <w:rFonts w:cs="Times New Roman"/>
          <w:sz w:val="22"/>
          <w:szCs w:val="22"/>
        </w:rPr>
        <w:t xml:space="preserve">rofessions </w:t>
      </w:r>
      <w:r w:rsidRPr="002827C7">
        <w:rPr>
          <w:rFonts w:cs="Times New Roman"/>
          <w:sz w:val="22"/>
          <w:szCs w:val="22"/>
        </w:rPr>
        <w:t>N</w:t>
      </w:r>
      <w:r w:rsidR="00C502F4">
        <w:rPr>
          <w:rFonts w:cs="Times New Roman"/>
          <w:sz w:val="22"/>
          <w:szCs w:val="22"/>
        </w:rPr>
        <w:t xml:space="preserve">on </w:t>
      </w:r>
      <w:r w:rsidRPr="002827C7">
        <w:rPr>
          <w:rFonts w:cs="Times New Roman"/>
          <w:sz w:val="22"/>
          <w:szCs w:val="22"/>
        </w:rPr>
        <w:t>F</w:t>
      </w:r>
      <w:r w:rsidR="00C502F4">
        <w:rPr>
          <w:rFonts w:cs="Times New Roman"/>
          <w:sz w:val="22"/>
          <w:szCs w:val="22"/>
        </w:rPr>
        <w:t xml:space="preserve">inancières </w:t>
      </w:r>
      <w:r w:rsidRPr="002827C7">
        <w:rPr>
          <w:rFonts w:cs="Times New Roman"/>
          <w:sz w:val="22"/>
          <w:szCs w:val="22"/>
        </w:rPr>
        <w:t>D</w:t>
      </w:r>
      <w:r w:rsidR="00C502F4">
        <w:rPr>
          <w:rFonts w:cs="Times New Roman"/>
          <w:sz w:val="22"/>
          <w:szCs w:val="22"/>
        </w:rPr>
        <w:t>ésignées (EPNFD)</w:t>
      </w:r>
      <w:r w:rsidRPr="002827C7">
        <w:rPr>
          <w:rFonts w:cs="Times New Roman"/>
          <w:sz w:val="22"/>
          <w:szCs w:val="22"/>
        </w:rPr>
        <w:t xml:space="preserve"> </w:t>
      </w:r>
      <w:r w:rsidR="007E5FFA">
        <w:rPr>
          <w:rFonts w:cs="Times New Roman"/>
          <w:sz w:val="22"/>
          <w:szCs w:val="22"/>
        </w:rPr>
        <w:t>63</w:t>
      </w:r>
      <w:r w:rsidRPr="002827C7">
        <w:rPr>
          <w:rFonts w:cs="Times New Roman"/>
          <w:sz w:val="22"/>
          <w:szCs w:val="22"/>
        </w:rPr>
        <w:t xml:space="preserve"> demandes d’informations relatives au trafic de stupéfiants. Sur la même période, la DPSD a transmis </w:t>
      </w:r>
      <w:r w:rsidR="00C70090">
        <w:rPr>
          <w:rFonts w:cs="Times New Roman"/>
          <w:sz w:val="22"/>
          <w:szCs w:val="22"/>
        </w:rPr>
        <w:t>114</w:t>
      </w:r>
      <w:r w:rsidRPr="002827C7">
        <w:rPr>
          <w:rFonts w:cs="Times New Roman"/>
          <w:sz w:val="22"/>
          <w:szCs w:val="22"/>
        </w:rPr>
        <w:t xml:space="preserve"> demandes portant sur le trafic de drogue et à la vente</w:t>
      </w:r>
      <w:r w:rsidR="00C70090">
        <w:rPr>
          <w:rFonts w:cs="Times New Roman"/>
          <w:sz w:val="22"/>
          <w:szCs w:val="22"/>
        </w:rPr>
        <w:t xml:space="preserve"> de substances psychotropes</w:t>
      </w:r>
      <w:r w:rsidRPr="002827C7">
        <w:rPr>
          <w:rFonts w:cs="Times New Roman"/>
          <w:sz w:val="22"/>
          <w:szCs w:val="22"/>
        </w:rPr>
        <w:t>.</w:t>
      </w:r>
      <w:r w:rsidR="007E5FFA">
        <w:rPr>
          <w:rFonts w:cs="Times New Roman"/>
          <w:sz w:val="22"/>
          <w:szCs w:val="22"/>
        </w:rPr>
        <w:t xml:space="preserve"> </w:t>
      </w:r>
    </w:p>
    <w:p w14:paraId="0171900B" w14:textId="036D1EC4" w:rsidR="002827C7" w:rsidRPr="002827C7" w:rsidRDefault="002827C7" w:rsidP="00AF0706">
      <w:pPr>
        <w:tabs>
          <w:tab w:val="left" w:pos="567"/>
        </w:tabs>
        <w:spacing w:before="240" w:after="120" w:line="360" w:lineRule="auto"/>
        <w:contextualSpacing/>
        <w:jc w:val="both"/>
        <w:rPr>
          <w:rFonts w:cs="Times New Roman"/>
          <w:sz w:val="22"/>
          <w:szCs w:val="22"/>
        </w:rPr>
      </w:pPr>
      <w:r w:rsidRPr="002827C7">
        <w:rPr>
          <w:rFonts w:cs="Times New Roman"/>
          <w:sz w:val="22"/>
          <w:szCs w:val="22"/>
        </w:rPr>
        <w:t xml:space="preserve">À titre illustratif, l’affaire dite « KIBOR » avait déjà révélé l’ampleur de la menace, avec la saisie de 1795 plaques de cocaïne d’un poids total de 2 057,259 kilogrammes. L’analyse approfondie de ce </w:t>
      </w:r>
      <w:r w:rsidRPr="002827C7">
        <w:rPr>
          <w:rFonts w:cs="Times New Roman"/>
          <w:sz w:val="22"/>
          <w:szCs w:val="22"/>
        </w:rPr>
        <w:lastRenderedPageBreak/>
        <w:t>dossier, comme de nombreux autres, met en évidence l’attractivité de la Côte d’Ivoire pour les trafiquants, en raison de sa position géographique et de son contexte économique.</w:t>
      </w:r>
    </w:p>
    <w:p w14:paraId="5947E395" w14:textId="2A16D8C3" w:rsidR="00CF7B3C" w:rsidRDefault="00AF60EC" w:rsidP="00DD206B">
      <w:pPr>
        <w:tabs>
          <w:tab w:val="left" w:pos="567"/>
        </w:tabs>
        <w:spacing w:before="240" w:after="120" w:line="360" w:lineRule="auto"/>
        <w:contextualSpacing/>
        <w:jc w:val="both"/>
        <w:rPr>
          <w:rFonts w:cs="Times New Roman"/>
          <w:sz w:val="22"/>
          <w:szCs w:val="22"/>
        </w:rPr>
      </w:pPr>
      <w:r w:rsidRPr="000E6CAC">
        <w:rPr>
          <w:rFonts w:cs="Times New Roman"/>
          <w:sz w:val="22"/>
          <w:szCs w:val="22"/>
        </w:rPr>
        <w:t>De ce qui précède, l’on peut conclure que le niveau de la menace</w:t>
      </w:r>
      <w:r w:rsidRPr="000E6CAC">
        <w:rPr>
          <w:sz w:val="22"/>
        </w:rPr>
        <w:t xml:space="preserve"> liée au trafic illicite de stupéfiants</w:t>
      </w:r>
      <w:r w:rsidRPr="000E6CAC">
        <w:rPr>
          <w:rFonts w:cs="Times New Roman"/>
          <w:sz w:val="22"/>
          <w:szCs w:val="22"/>
        </w:rPr>
        <w:t xml:space="preserve"> est</w:t>
      </w:r>
      <w:r w:rsidR="00147FD3" w:rsidRPr="000E6CAC">
        <w:rPr>
          <w:rFonts w:cs="Times New Roman"/>
          <w:sz w:val="22"/>
          <w:szCs w:val="22"/>
        </w:rPr>
        <w:t xml:space="preserve"> </w:t>
      </w:r>
      <w:r w:rsidR="00147FD3" w:rsidRPr="000E6CAC">
        <w:rPr>
          <w:rFonts w:cs="Times New Roman"/>
          <w:b/>
          <w:bCs/>
          <w:sz w:val="22"/>
          <w:szCs w:val="22"/>
        </w:rPr>
        <w:t xml:space="preserve">« </w:t>
      </w:r>
      <w:r w:rsidR="00295BBA" w:rsidRPr="000E6CAC">
        <w:rPr>
          <w:rFonts w:cs="Times New Roman"/>
          <w:b/>
          <w:bCs/>
          <w:sz w:val="22"/>
          <w:szCs w:val="22"/>
        </w:rPr>
        <w:t>t</w:t>
      </w:r>
      <w:r w:rsidR="00147FD3" w:rsidRPr="000E6CAC">
        <w:rPr>
          <w:rFonts w:cs="Times New Roman"/>
          <w:b/>
          <w:bCs/>
          <w:sz w:val="22"/>
          <w:szCs w:val="22"/>
        </w:rPr>
        <w:t>rès élevé »</w:t>
      </w:r>
      <w:r w:rsidR="00147FD3" w:rsidRPr="000E6CAC">
        <w:rPr>
          <w:rFonts w:cs="Times New Roman"/>
          <w:sz w:val="22"/>
          <w:szCs w:val="22"/>
        </w:rPr>
        <w:t>.</w:t>
      </w:r>
    </w:p>
    <w:p w14:paraId="2833C22D" w14:textId="77777777" w:rsidR="00187C0D" w:rsidRDefault="00187C0D" w:rsidP="00DD206B">
      <w:pPr>
        <w:tabs>
          <w:tab w:val="left" w:pos="567"/>
        </w:tabs>
        <w:spacing w:before="240" w:after="120" w:line="360" w:lineRule="auto"/>
        <w:contextualSpacing/>
        <w:jc w:val="both"/>
        <w:rPr>
          <w:rFonts w:cs="Times New Roman"/>
          <w:sz w:val="22"/>
          <w:szCs w:val="22"/>
          <w:lang w:val="fr-CI"/>
        </w:rPr>
      </w:pPr>
    </w:p>
    <w:tbl>
      <w:tblPr>
        <w:tblStyle w:val="Grilledutableau"/>
        <w:tblW w:w="0" w:type="auto"/>
        <w:shd w:val="clear" w:color="auto" w:fill="E8E8E8" w:themeFill="background2"/>
        <w:tblLook w:val="04A0" w:firstRow="1" w:lastRow="0" w:firstColumn="1" w:lastColumn="0" w:noHBand="0" w:noVBand="1"/>
      </w:tblPr>
      <w:tblGrid>
        <w:gridCol w:w="9016"/>
      </w:tblGrid>
      <w:tr w:rsidR="00187C0D" w:rsidRPr="00A86A24" w14:paraId="5D68256D" w14:textId="77777777" w:rsidTr="00AC5A9F">
        <w:tc>
          <w:tcPr>
            <w:tcW w:w="9062" w:type="dxa"/>
            <w:shd w:val="clear" w:color="auto" w:fill="E8E8E8" w:themeFill="background2"/>
          </w:tcPr>
          <w:p w14:paraId="7452F828" w14:textId="77777777" w:rsidR="00187C0D" w:rsidRPr="00A86A24" w:rsidRDefault="00187C0D" w:rsidP="00DD206B">
            <w:pPr>
              <w:tabs>
                <w:tab w:val="left" w:pos="567"/>
              </w:tabs>
              <w:spacing w:before="240" w:after="120" w:line="360" w:lineRule="auto"/>
              <w:contextualSpacing/>
              <w:jc w:val="both"/>
              <w:rPr>
                <w:rFonts w:cs="Times New Roman"/>
                <w:b/>
                <w:bCs/>
                <w:sz w:val="22"/>
                <w:szCs w:val="22"/>
                <w:u w:val="single"/>
              </w:rPr>
            </w:pPr>
            <w:r w:rsidRPr="00A86A24">
              <w:rPr>
                <w:rFonts w:cs="Times New Roman"/>
                <w:b/>
                <w:bCs/>
                <w:sz w:val="22"/>
                <w:szCs w:val="22"/>
                <w:u w:val="single"/>
              </w:rPr>
              <w:t xml:space="preserve">Cas 1 : Enquête sur le trafic illicite de stupéfiant </w:t>
            </w:r>
          </w:p>
          <w:p w14:paraId="2E06FEC2"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À l'occasion de plusieurs enquêtes liées au blanchiment de capitaux, un (01) individu a été interpellé et mis à la disposition des unités spécialisées compétentes pour la poursuite des investigations. Au cours des investigations, le mis en cause a reconnu son implication dans un trafic de drogue ayant abouti à la saisie de plus d'une (01) tonne de cocaïne et à la découverte de la somme 50.000.000 de francs CFA (76 270 euros) à son domicile. Les résultats obtenus au cours de cette enquête sont le fruit de la collaboration entre les services de renseignements, des unités spécialisées, la CENTIF et les enquêteurs spécialisés. Le renseignement financier fourni par la CENTIF a permis d’identifier les biens (comptes bancaires, entreprises du mis en cause, ainsi que de ses proches relations).</w:t>
            </w:r>
          </w:p>
        </w:tc>
      </w:tr>
    </w:tbl>
    <w:p w14:paraId="4450ECC8" w14:textId="77777777" w:rsidR="00187C0D" w:rsidRPr="005D071D" w:rsidRDefault="00187C0D" w:rsidP="00DD206B">
      <w:pPr>
        <w:tabs>
          <w:tab w:val="left" w:pos="567"/>
        </w:tabs>
        <w:spacing w:before="240" w:after="120" w:line="360" w:lineRule="auto"/>
        <w:contextualSpacing/>
        <w:jc w:val="both"/>
        <w:rPr>
          <w:rFonts w:cs="Times New Roman"/>
          <w:sz w:val="22"/>
          <w:szCs w:val="22"/>
          <w:lang w:val="fr-CI"/>
        </w:rPr>
      </w:pPr>
    </w:p>
    <w:p w14:paraId="3546BB4C" w14:textId="354FB62E" w:rsidR="00CF7B3C" w:rsidRPr="00AF0706" w:rsidRDefault="00CF7B3C" w:rsidP="00AF0706">
      <w:pPr>
        <w:pStyle w:val="Titre4"/>
        <w:rPr>
          <w:sz w:val="22"/>
        </w:rPr>
      </w:pPr>
      <w:r w:rsidRPr="008F704B">
        <w:rPr>
          <w:sz w:val="22"/>
        </w:rPr>
        <w:tab/>
        <w:t xml:space="preserve">Evaluation de la menace liée à la corruption et aux infractions assimilées </w:t>
      </w:r>
    </w:p>
    <w:p w14:paraId="01164F00" w14:textId="33C9562E" w:rsidR="008770BB" w:rsidRDefault="00087B91" w:rsidP="00DD206B">
      <w:pPr>
        <w:tabs>
          <w:tab w:val="left" w:pos="567"/>
        </w:tabs>
        <w:spacing w:before="240" w:after="120" w:line="360" w:lineRule="auto"/>
        <w:contextualSpacing/>
        <w:jc w:val="both"/>
        <w:rPr>
          <w:rFonts w:cs="Times New Roman"/>
          <w:sz w:val="22"/>
          <w:szCs w:val="22"/>
        </w:rPr>
      </w:pPr>
      <w:r w:rsidRPr="00087B91">
        <w:rPr>
          <w:rFonts w:cs="Times New Roman"/>
          <w:sz w:val="22"/>
          <w:szCs w:val="22"/>
        </w:rPr>
        <w:t xml:space="preserve">En ce qui concerne </w:t>
      </w:r>
      <w:r w:rsidR="008770BB">
        <w:rPr>
          <w:rFonts w:cs="Times New Roman"/>
          <w:sz w:val="22"/>
          <w:szCs w:val="22"/>
        </w:rPr>
        <w:t>l</w:t>
      </w:r>
      <w:r w:rsidR="00D276EA">
        <w:rPr>
          <w:rFonts w:cs="Times New Roman"/>
          <w:sz w:val="22"/>
          <w:szCs w:val="22"/>
        </w:rPr>
        <w:t>a</w:t>
      </w:r>
      <w:r w:rsidR="008770BB">
        <w:rPr>
          <w:rFonts w:cs="Times New Roman"/>
          <w:sz w:val="22"/>
          <w:szCs w:val="22"/>
        </w:rPr>
        <w:t xml:space="preserve"> corruption et</w:t>
      </w:r>
      <w:r w:rsidR="00D276EA">
        <w:rPr>
          <w:rFonts w:cs="Times New Roman"/>
          <w:sz w:val="22"/>
          <w:szCs w:val="22"/>
        </w:rPr>
        <w:t xml:space="preserve"> les </w:t>
      </w:r>
      <w:r w:rsidR="008770BB">
        <w:rPr>
          <w:rFonts w:cs="Times New Roman"/>
          <w:sz w:val="22"/>
          <w:szCs w:val="22"/>
        </w:rPr>
        <w:t>infractions assimilées</w:t>
      </w:r>
      <w:r w:rsidRPr="00087B91">
        <w:rPr>
          <w:rFonts w:cs="Times New Roman"/>
          <w:sz w:val="22"/>
          <w:szCs w:val="22"/>
        </w:rPr>
        <w:t>, l’ENR</w:t>
      </w:r>
      <w:r w:rsidR="008770BB">
        <w:rPr>
          <w:rFonts w:cs="Times New Roman"/>
          <w:sz w:val="22"/>
          <w:szCs w:val="22"/>
        </w:rPr>
        <w:t xml:space="preserve"> de 2018-2019</w:t>
      </w:r>
      <w:r w:rsidRPr="00087B91">
        <w:rPr>
          <w:rFonts w:cs="Times New Roman"/>
          <w:sz w:val="22"/>
          <w:szCs w:val="22"/>
        </w:rPr>
        <w:t xml:space="preserve"> avait conclu que la menace était « élevée ». Malgré toutes les dispositions qui ont été prises </w:t>
      </w:r>
      <w:r w:rsidR="008770BB">
        <w:rPr>
          <w:rFonts w:cs="Times New Roman"/>
          <w:sz w:val="22"/>
          <w:szCs w:val="22"/>
        </w:rPr>
        <w:t xml:space="preserve">par les autorités étatiques </w:t>
      </w:r>
      <w:r w:rsidRPr="00087B91">
        <w:rPr>
          <w:rFonts w:cs="Times New Roman"/>
          <w:sz w:val="22"/>
          <w:szCs w:val="22"/>
        </w:rPr>
        <w:t xml:space="preserve">au cours des dernières années, </w:t>
      </w:r>
      <w:r w:rsidR="008770BB">
        <w:rPr>
          <w:rFonts w:cs="Times New Roman"/>
          <w:sz w:val="22"/>
          <w:szCs w:val="22"/>
        </w:rPr>
        <w:t>ces infractions sont</w:t>
      </w:r>
      <w:r w:rsidRPr="00087B91">
        <w:rPr>
          <w:rFonts w:cs="Times New Roman"/>
          <w:sz w:val="22"/>
          <w:szCs w:val="22"/>
        </w:rPr>
        <w:t xml:space="preserve"> toujours présente</w:t>
      </w:r>
      <w:r w:rsidR="008770BB">
        <w:rPr>
          <w:rFonts w:cs="Times New Roman"/>
          <w:sz w:val="22"/>
          <w:szCs w:val="22"/>
        </w:rPr>
        <w:t>s</w:t>
      </w:r>
      <w:r w:rsidRPr="00087B91">
        <w:rPr>
          <w:rFonts w:cs="Times New Roman"/>
          <w:sz w:val="22"/>
          <w:szCs w:val="22"/>
        </w:rPr>
        <w:t xml:space="preserve"> et s’étend</w:t>
      </w:r>
      <w:r w:rsidR="008770BB">
        <w:rPr>
          <w:rFonts w:cs="Times New Roman"/>
          <w:sz w:val="22"/>
          <w:szCs w:val="22"/>
        </w:rPr>
        <w:t>ent</w:t>
      </w:r>
      <w:r w:rsidRPr="00087B91">
        <w:rPr>
          <w:rFonts w:cs="Times New Roman"/>
          <w:sz w:val="22"/>
          <w:szCs w:val="22"/>
        </w:rPr>
        <w:t xml:space="preserve"> à tous les secteurs d’activité.</w:t>
      </w:r>
    </w:p>
    <w:p w14:paraId="1BF926C5" w14:textId="5390C75F" w:rsidR="00087B91" w:rsidRPr="00087B91" w:rsidRDefault="008770BB" w:rsidP="00DD206B">
      <w:pPr>
        <w:tabs>
          <w:tab w:val="left" w:pos="567"/>
        </w:tabs>
        <w:spacing w:before="240" w:after="120" w:line="360" w:lineRule="auto"/>
        <w:contextualSpacing/>
        <w:jc w:val="both"/>
        <w:rPr>
          <w:rFonts w:cs="Times New Roman"/>
          <w:sz w:val="22"/>
          <w:szCs w:val="22"/>
        </w:rPr>
      </w:pPr>
      <w:r>
        <w:rPr>
          <w:rFonts w:cs="Times New Roman"/>
          <w:sz w:val="22"/>
          <w:szCs w:val="22"/>
        </w:rPr>
        <w:t>S</w:t>
      </w:r>
      <w:r w:rsidR="00087B91" w:rsidRPr="00087B91">
        <w:rPr>
          <w:rFonts w:cs="Times New Roman"/>
          <w:sz w:val="22"/>
          <w:szCs w:val="22"/>
        </w:rPr>
        <w:t xml:space="preserve">elon </w:t>
      </w:r>
      <w:r w:rsidR="00087B91" w:rsidRPr="003122B8">
        <w:rPr>
          <w:rFonts w:cs="Times New Roman"/>
          <w:sz w:val="22"/>
          <w:szCs w:val="22"/>
        </w:rPr>
        <w:t xml:space="preserve">l’Indice de Perception de la Corruption de </w:t>
      </w:r>
      <w:proofErr w:type="spellStart"/>
      <w:r w:rsidR="00087B91" w:rsidRPr="003122B8">
        <w:rPr>
          <w:rFonts w:cs="Times New Roman"/>
          <w:sz w:val="22"/>
          <w:szCs w:val="22"/>
        </w:rPr>
        <w:t>Transparency</w:t>
      </w:r>
      <w:proofErr w:type="spellEnd"/>
      <w:r w:rsidR="00087B91" w:rsidRPr="003122B8">
        <w:rPr>
          <w:rFonts w:cs="Times New Roman"/>
          <w:sz w:val="22"/>
          <w:szCs w:val="22"/>
        </w:rPr>
        <w:t xml:space="preserve"> International (année 2023), la Côte d’Ivoire a</w:t>
      </w:r>
      <w:r w:rsidR="002B3463">
        <w:rPr>
          <w:rFonts w:cs="Times New Roman"/>
          <w:sz w:val="22"/>
          <w:szCs w:val="22"/>
        </w:rPr>
        <w:t>vait</w:t>
      </w:r>
      <w:r w:rsidR="00087B91" w:rsidRPr="003122B8">
        <w:rPr>
          <w:rFonts w:cs="Times New Roman"/>
          <w:sz w:val="22"/>
          <w:szCs w:val="22"/>
        </w:rPr>
        <w:t xml:space="preserve"> un score de 40/100 et </w:t>
      </w:r>
      <w:r w:rsidR="00C80FA1">
        <w:rPr>
          <w:rFonts w:cs="Times New Roman"/>
          <w:sz w:val="22"/>
          <w:szCs w:val="22"/>
        </w:rPr>
        <w:t>était classée</w:t>
      </w:r>
      <w:r w:rsidR="00087B91" w:rsidRPr="003122B8">
        <w:rPr>
          <w:rFonts w:cs="Times New Roman"/>
          <w:sz w:val="22"/>
          <w:szCs w:val="22"/>
        </w:rPr>
        <w:t xml:space="preserve"> 87ième sur 180 pays évalués en matière de corruption.</w:t>
      </w:r>
    </w:p>
    <w:p w14:paraId="40511B46" w14:textId="0CED61C6" w:rsidR="00087B91" w:rsidRPr="00087B91" w:rsidRDefault="00087B91" w:rsidP="00DD206B">
      <w:pPr>
        <w:tabs>
          <w:tab w:val="left" w:pos="567"/>
        </w:tabs>
        <w:spacing w:before="240" w:after="120" w:line="360" w:lineRule="auto"/>
        <w:contextualSpacing/>
        <w:jc w:val="both"/>
        <w:rPr>
          <w:rFonts w:cs="Times New Roman"/>
          <w:sz w:val="22"/>
          <w:szCs w:val="22"/>
        </w:rPr>
      </w:pPr>
      <w:r w:rsidRPr="00087B91">
        <w:rPr>
          <w:rFonts w:cs="Times New Roman"/>
          <w:sz w:val="22"/>
          <w:szCs w:val="22"/>
        </w:rPr>
        <w:t>De juin 2022 à mai 2024, la CENTIF a reçu 22 DOS relati</w:t>
      </w:r>
      <w:r w:rsidR="008770BB">
        <w:rPr>
          <w:rFonts w:cs="Times New Roman"/>
          <w:sz w:val="22"/>
          <w:szCs w:val="22"/>
        </w:rPr>
        <w:t>ve</w:t>
      </w:r>
      <w:r w:rsidRPr="00087B91">
        <w:rPr>
          <w:rFonts w:cs="Times New Roman"/>
          <w:sz w:val="22"/>
          <w:szCs w:val="22"/>
        </w:rPr>
        <w:t xml:space="preserve">s à la corruption. Par la suite, entre septembre 2024 et février 2025, elle a procédé à 9 diffusions spontanées aux différentes autorités suite à l’analyse des DOS, dont 3 à la DPEF et 6 au PPEF. </w:t>
      </w:r>
      <w:r w:rsidR="00AF0C75">
        <w:rPr>
          <w:rFonts w:cs="Times New Roman"/>
          <w:sz w:val="22"/>
          <w:szCs w:val="22"/>
        </w:rPr>
        <w:t>Aussi</w:t>
      </w:r>
      <w:r w:rsidRPr="00087B91">
        <w:rPr>
          <w:rFonts w:cs="Times New Roman"/>
          <w:sz w:val="22"/>
          <w:szCs w:val="22"/>
        </w:rPr>
        <w:t>, de mars à j</w:t>
      </w:r>
      <w:r w:rsidR="00437B72">
        <w:rPr>
          <w:rFonts w:cs="Times New Roman"/>
          <w:sz w:val="22"/>
          <w:szCs w:val="22"/>
        </w:rPr>
        <w:t>uillet</w:t>
      </w:r>
      <w:r w:rsidRPr="00087B91">
        <w:rPr>
          <w:rFonts w:cs="Times New Roman"/>
          <w:sz w:val="22"/>
          <w:szCs w:val="22"/>
        </w:rPr>
        <w:t xml:space="preserve"> 2025, la CENTIF a effectué 1</w:t>
      </w:r>
      <w:r w:rsidR="00AF0C75">
        <w:rPr>
          <w:rFonts w:cs="Times New Roman"/>
          <w:sz w:val="22"/>
          <w:szCs w:val="22"/>
        </w:rPr>
        <w:t>4</w:t>
      </w:r>
      <w:r w:rsidRPr="00087B91">
        <w:rPr>
          <w:rFonts w:cs="Times New Roman"/>
          <w:sz w:val="22"/>
          <w:szCs w:val="22"/>
        </w:rPr>
        <w:t xml:space="preserve"> nouvelles diffusions spontanées, dont 9 au PPEF et </w:t>
      </w:r>
      <w:r w:rsidR="00437B72">
        <w:rPr>
          <w:rFonts w:cs="Times New Roman"/>
          <w:sz w:val="22"/>
          <w:szCs w:val="22"/>
        </w:rPr>
        <w:t>5</w:t>
      </w:r>
      <w:r w:rsidRPr="00087B91">
        <w:rPr>
          <w:rFonts w:cs="Times New Roman"/>
          <w:sz w:val="22"/>
          <w:szCs w:val="22"/>
        </w:rPr>
        <w:t xml:space="preserve"> à la DPEF.</w:t>
      </w:r>
      <w:r w:rsidR="00AF0C75">
        <w:rPr>
          <w:rFonts w:cs="Times New Roman"/>
          <w:sz w:val="22"/>
          <w:szCs w:val="22"/>
        </w:rPr>
        <w:t xml:space="preserve"> Enfin, </w:t>
      </w:r>
      <w:r w:rsidR="0055172D">
        <w:rPr>
          <w:rFonts w:cs="Times New Roman"/>
          <w:sz w:val="22"/>
          <w:szCs w:val="22"/>
        </w:rPr>
        <w:t>sur la même période</w:t>
      </w:r>
      <w:r w:rsidR="00AF0C75" w:rsidRPr="002827C7">
        <w:rPr>
          <w:rFonts w:cs="Times New Roman"/>
          <w:sz w:val="22"/>
          <w:szCs w:val="22"/>
        </w:rPr>
        <w:t xml:space="preserve">, à la demande de la </w:t>
      </w:r>
      <w:r w:rsidR="00AF0C75">
        <w:rPr>
          <w:rFonts w:cs="Times New Roman"/>
          <w:sz w:val="22"/>
          <w:szCs w:val="22"/>
        </w:rPr>
        <w:t>HABG</w:t>
      </w:r>
      <w:r w:rsidR="00AF0C75" w:rsidRPr="002827C7">
        <w:rPr>
          <w:rFonts w:cs="Times New Roman"/>
          <w:sz w:val="22"/>
          <w:szCs w:val="22"/>
        </w:rPr>
        <w:t xml:space="preserve">, la CENTIF a encore procédé à </w:t>
      </w:r>
      <w:r w:rsidR="00AF0C75">
        <w:rPr>
          <w:rFonts w:cs="Times New Roman"/>
          <w:sz w:val="22"/>
          <w:szCs w:val="22"/>
        </w:rPr>
        <w:t>23</w:t>
      </w:r>
      <w:r w:rsidR="00AF0C75" w:rsidRPr="002827C7">
        <w:rPr>
          <w:rFonts w:cs="Times New Roman"/>
          <w:sz w:val="22"/>
          <w:szCs w:val="22"/>
        </w:rPr>
        <w:t xml:space="preserve"> diffusions supplémentaires, témoignant de l’importance des flux d’informations liés à cette infraction.</w:t>
      </w:r>
    </w:p>
    <w:p w14:paraId="02901FC1" w14:textId="77777777" w:rsidR="00087B91" w:rsidRPr="00087B91" w:rsidRDefault="00087B91" w:rsidP="00DD206B">
      <w:pPr>
        <w:tabs>
          <w:tab w:val="left" w:pos="567"/>
        </w:tabs>
        <w:spacing w:before="240" w:after="120" w:line="360" w:lineRule="auto"/>
        <w:contextualSpacing/>
        <w:jc w:val="both"/>
        <w:rPr>
          <w:rFonts w:cs="Times New Roman"/>
          <w:sz w:val="22"/>
          <w:szCs w:val="22"/>
        </w:rPr>
      </w:pPr>
    </w:p>
    <w:p w14:paraId="31D08D91" w14:textId="1E22E7CF" w:rsidR="00087B91" w:rsidRPr="00087B91" w:rsidRDefault="00087B91" w:rsidP="00DD206B">
      <w:pPr>
        <w:tabs>
          <w:tab w:val="left" w:pos="567"/>
        </w:tabs>
        <w:spacing w:before="240" w:after="120" w:line="360" w:lineRule="auto"/>
        <w:contextualSpacing/>
        <w:jc w:val="both"/>
        <w:rPr>
          <w:rFonts w:cs="Times New Roman"/>
          <w:sz w:val="22"/>
          <w:szCs w:val="22"/>
        </w:rPr>
      </w:pPr>
      <w:r w:rsidRPr="00087B91">
        <w:rPr>
          <w:rFonts w:cs="Times New Roman"/>
          <w:sz w:val="22"/>
          <w:szCs w:val="22"/>
        </w:rPr>
        <w:t>Le PPEF, quant à lui, a traité 209 dossiers liés à la corruption et infractions assimilées, sur un total de 2199 cas, au cours de la période de juin 2022 à mai 2024. De septembre 2024 à février 2025, il a adressé une demande d’information à la CENTIF dans le cadre de la même infraction. De plus, de janvier 2024 à mars 2025, le PPEF a poursuivi 196 personnes physiques, y compris des agents publics, dans 64 affaires de blanchiment de capitaux et corruption. Entre avril et ju</w:t>
      </w:r>
      <w:r w:rsidR="00CD0407">
        <w:rPr>
          <w:rFonts w:cs="Times New Roman"/>
          <w:sz w:val="22"/>
          <w:szCs w:val="22"/>
        </w:rPr>
        <w:t>illet</w:t>
      </w:r>
      <w:r w:rsidRPr="00087B91">
        <w:rPr>
          <w:rFonts w:cs="Times New Roman"/>
          <w:sz w:val="22"/>
          <w:szCs w:val="22"/>
        </w:rPr>
        <w:t xml:space="preserve"> 2025, </w:t>
      </w:r>
      <w:r w:rsidR="00CD0407">
        <w:rPr>
          <w:rFonts w:cs="Times New Roman"/>
          <w:sz w:val="22"/>
          <w:szCs w:val="22"/>
        </w:rPr>
        <w:t>25</w:t>
      </w:r>
      <w:r w:rsidRPr="00087B91">
        <w:rPr>
          <w:rFonts w:cs="Times New Roman"/>
          <w:sz w:val="22"/>
          <w:szCs w:val="22"/>
        </w:rPr>
        <w:t xml:space="preserve"> nouveaux dossiers de </w:t>
      </w:r>
      <w:r w:rsidRPr="00087B91">
        <w:rPr>
          <w:rFonts w:cs="Times New Roman"/>
          <w:sz w:val="22"/>
          <w:szCs w:val="22"/>
        </w:rPr>
        <w:lastRenderedPageBreak/>
        <w:t xml:space="preserve">blanchiment de capitaux en lien avec la corruption ont été ouverts, impliquant </w:t>
      </w:r>
      <w:r w:rsidR="00CD0407">
        <w:rPr>
          <w:rFonts w:cs="Times New Roman"/>
          <w:sz w:val="22"/>
          <w:szCs w:val="22"/>
        </w:rPr>
        <w:t>60</w:t>
      </w:r>
      <w:r w:rsidRPr="00087B91">
        <w:rPr>
          <w:rFonts w:cs="Times New Roman"/>
          <w:sz w:val="22"/>
          <w:szCs w:val="22"/>
        </w:rPr>
        <w:t xml:space="preserve"> personnes physiques, y compris des agents publics, et 2</w:t>
      </w:r>
      <w:r w:rsidR="00CD0407">
        <w:rPr>
          <w:rFonts w:cs="Times New Roman"/>
          <w:sz w:val="22"/>
          <w:szCs w:val="22"/>
        </w:rPr>
        <w:t>9</w:t>
      </w:r>
      <w:r w:rsidRPr="00087B91">
        <w:rPr>
          <w:rFonts w:cs="Times New Roman"/>
          <w:sz w:val="22"/>
          <w:szCs w:val="22"/>
        </w:rPr>
        <w:t xml:space="preserve"> personnes morales. Ces dernières ont été identifiées comme celles par lesquelles les fonds issus des actes de corruption sont blanchis, portant ainsi à 8</w:t>
      </w:r>
      <w:r w:rsidR="00CD0407">
        <w:rPr>
          <w:rFonts w:cs="Times New Roman"/>
          <w:sz w:val="22"/>
          <w:szCs w:val="22"/>
        </w:rPr>
        <w:t>9</w:t>
      </w:r>
      <w:r w:rsidRPr="00087B91">
        <w:rPr>
          <w:rFonts w:cs="Times New Roman"/>
          <w:sz w:val="22"/>
          <w:szCs w:val="22"/>
        </w:rPr>
        <w:t xml:space="preserve"> le nombre total de dossiers ouverts par le PPEF depuis janvier 2024.</w:t>
      </w:r>
    </w:p>
    <w:p w14:paraId="5D557718" w14:textId="2BF0A178" w:rsidR="00087B91" w:rsidRPr="00087B91" w:rsidRDefault="00087B91" w:rsidP="00DD206B">
      <w:pPr>
        <w:tabs>
          <w:tab w:val="left" w:pos="567"/>
        </w:tabs>
        <w:spacing w:before="240" w:after="120" w:line="360" w:lineRule="auto"/>
        <w:contextualSpacing/>
        <w:jc w:val="both"/>
        <w:rPr>
          <w:rFonts w:cs="Times New Roman"/>
          <w:sz w:val="22"/>
          <w:szCs w:val="22"/>
        </w:rPr>
      </w:pPr>
      <w:r w:rsidRPr="00087B91">
        <w:rPr>
          <w:rFonts w:cs="Times New Roman"/>
          <w:sz w:val="22"/>
          <w:szCs w:val="22"/>
        </w:rPr>
        <w:t>La Haute Autorité pour la Bonne Gouvernance (HABG) a également été active. De juillet 2022 à août 2024, elle a adressé 146 requêtes aux institutions financières, à certaines EPNFD et aux administrations fiscales</w:t>
      </w:r>
      <w:r w:rsidRPr="00684DF8">
        <w:rPr>
          <w:rFonts w:cs="Times New Roman"/>
          <w:sz w:val="22"/>
          <w:szCs w:val="22"/>
        </w:rPr>
        <w:t>. Entre septembre 2024 et février 2025, elle a formulé 48 demandes d’informations à la CENTIF</w:t>
      </w:r>
      <w:r w:rsidR="00385E5B" w:rsidRPr="00684DF8">
        <w:rPr>
          <w:rFonts w:cs="Times New Roman"/>
          <w:sz w:val="22"/>
          <w:szCs w:val="22"/>
        </w:rPr>
        <w:t xml:space="preserve"> et a adressée 64 demandes d’informations aux </w:t>
      </w:r>
      <w:r w:rsidR="0055689F">
        <w:rPr>
          <w:rFonts w:cs="Times New Roman"/>
          <w:sz w:val="22"/>
          <w:szCs w:val="22"/>
        </w:rPr>
        <w:t>IF</w:t>
      </w:r>
      <w:r w:rsidR="00385E5B" w:rsidRPr="00684DF8">
        <w:rPr>
          <w:rFonts w:cs="Times New Roman"/>
          <w:sz w:val="22"/>
          <w:szCs w:val="22"/>
        </w:rPr>
        <w:t xml:space="preserve"> et à certaines EPNFD</w:t>
      </w:r>
      <w:r w:rsidR="00684DF8" w:rsidRPr="00684DF8">
        <w:rPr>
          <w:rFonts w:cs="Times New Roman"/>
          <w:sz w:val="22"/>
          <w:szCs w:val="22"/>
        </w:rPr>
        <w:t xml:space="preserve"> ainsi qu’à d’autres autorités compétentes</w:t>
      </w:r>
      <w:r w:rsidR="00385E5B" w:rsidRPr="00684DF8">
        <w:rPr>
          <w:rFonts w:cs="Times New Roman"/>
          <w:sz w:val="22"/>
          <w:szCs w:val="22"/>
        </w:rPr>
        <w:t>.</w:t>
      </w:r>
      <w:r w:rsidRPr="00684DF8">
        <w:rPr>
          <w:rFonts w:cs="Times New Roman"/>
          <w:sz w:val="22"/>
          <w:szCs w:val="22"/>
        </w:rPr>
        <w:t xml:space="preserve"> Puis, de mars à jui</w:t>
      </w:r>
      <w:r w:rsidR="00E278BA">
        <w:rPr>
          <w:rFonts w:cs="Times New Roman"/>
          <w:sz w:val="22"/>
          <w:szCs w:val="22"/>
        </w:rPr>
        <w:t>llet</w:t>
      </w:r>
      <w:r w:rsidRPr="00684DF8">
        <w:rPr>
          <w:rFonts w:cs="Times New Roman"/>
          <w:sz w:val="22"/>
          <w:szCs w:val="22"/>
        </w:rPr>
        <w:t xml:space="preserve"> 2025, la HABG a </w:t>
      </w:r>
      <w:r w:rsidRPr="008E412F">
        <w:rPr>
          <w:rFonts w:cs="Times New Roman"/>
          <w:sz w:val="22"/>
          <w:szCs w:val="22"/>
        </w:rPr>
        <w:t xml:space="preserve">adressé </w:t>
      </w:r>
      <w:r w:rsidR="008E412F" w:rsidRPr="000E6CAC">
        <w:rPr>
          <w:rFonts w:cs="Times New Roman"/>
          <w:sz w:val="22"/>
          <w:szCs w:val="22"/>
        </w:rPr>
        <w:t>53</w:t>
      </w:r>
      <w:r w:rsidRPr="008E412F">
        <w:rPr>
          <w:rFonts w:cs="Times New Roman"/>
          <w:sz w:val="22"/>
          <w:szCs w:val="22"/>
        </w:rPr>
        <w:t xml:space="preserve"> demandes aux </w:t>
      </w:r>
      <w:r w:rsidR="00636834">
        <w:rPr>
          <w:rFonts w:cs="Times New Roman"/>
          <w:sz w:val="22"/>
          <w:szCs w:val="22"/>
        </w:rPr>
        <w:t xml:space="preserve">IF </w:t>
      </w:r>
      <w:r w:rsidRPr="008E412F">
        <w:rPr>
          <w:rFonts w:cs="Times New Roman"/>
          <w:sz w:val="22"/>
          <w:szCs w:val="22"/>
        </w:rPr>
        <w:t>et à certaines EPNFD</w:t>
      </w:r>
      <w:r w:rsidR="00E278BA">
        <w:rPr>
          <w:rFonts w:cs="Times New Roman"/>
          <w:sz w:val="22"/>
          <w:szCs w:val="22"/>
        </w:rPr>
        <w:t xml:space="preserve"> et 32 à la CENTIF</w:t>
      </w:r>
      <w:r w:rsidRPr="00684DF8">
        <w:rPr>
          <w:rFonts w:cs="Times New Roman"/>
          <w:sz w:val="22"/>
          <w:szCs w:val="22"/>
        </w:rPr>
        <w:t>.</w:t>
      </w:r>
    </w:p>
    <w:p w14:paraId="0C9B0600" w14:textId="496F3835" w:rsidR="00087B91" w:rsidRPr="00087B91" w:rsidRDefault="00087B91" w:rsidP="00DD206B">
      <w:pPr>
        <w:tabs>
          <w:tab w:val="left" w:pos="567"/>
        </w:tabs>
        <w:spacing w:before="240" w:after="120" w:line="360" w:lineRule="auto"/>
        <w:contextualSpacing/>
        <w:jc w:val="both"/>
        <w:rPr>
          <w:rFonts w:cs="Times New Roman"/>
          <w:sz w:val="22"/>
          <w:szCs w:val="22"/>
        </w:rPr>
      </w:pPr>
      <w:r w:rsidRPr="00087B91">
        <w:rPr>
          <w:rFonts w:cs="Times New Roman"/>
          <w:sz w:val="22"/>
          <w:szCs w:val="22"/>
        </w:rPr>
        <w:t>Le C</w:t>
      </w:r>
      <w:r w:rsidR="00075707">
        <w:rPr>
          <w:rFonts w:cs="Times New Roman"/>
          <w:sz w:val="22"/>
          <w:szCs w:val="22"/>
        </w:rPr>
        <w:t xml:space="preserve">entre de </w:t>
      </w:r>
      <w:r w:rsidRPr="00087B91">
        <w:rPr>
          <w:rFonts w:cs="Times New Roman"/>
          <w:sz w:val="22"/>
          <w:szCs w:val="22"/>
        </w:rPr>
        <w:t>R</w:t>
      </w:r>
      <w:r w:rsidR="00075707">
        <w:rPr>
          <w:rFonts w:cs="Times New Roman"/>
          <w:sz w:val="22"/>
          <w:szCs w:val="22"/>
        </w:rPr>
        <w:t xml:space="preserve">enseignement </w:t>
      </w:r>
      <w:r w:rsidRPr="00087B91">
        <w:rPr>
          <w:rFonts w:cs="Times New Roman"/>
          <w:sz w:val="22"/>
          <w:szCs w:val="22"/>
        </w:rPr>
        <w:t>O</w:t>
      </w:r>
      <w:r w:rsidR="00075707">
        <w:rPr>
          <w:rFonts w:cs="Times New Roman"/>
          <w:sz w:val="22"/>
          <w:szCs w:val="22"/>
        </w:rPr>
        <w:t xml:space="preserve">pérationnel </w:t>
      </w:r>
      <w:r w:rsidRPr="00087B91">
        <w:rPr>
          <w:rFonts w:cs="Times New Roman"/>
          <w:sz w:val="22"/>
          <w:szCs w:val="22"/>
        </w:rPr>
        <w:t>A</w:t>
      </w:r>
      <w:r w:rsidR="00075707">
        <w:rPr>
          <w:rFonts w:cs="Times New Roman"/>
          <w:sz w:val="22"/>
          <w:szCs w:val="22"/>
        </w:rPr>
        <w:t>nti-</w:t>
      </w:r>
      <w:r w:rsidRPr="00087B91">
        <w:rPr>
          <w:rFonts w:cs="Times New Roman"/>
          <w:sz w:val="22"/>
          <w:szCs w:val="22"/>
        </w:rPr>
        <w:t>T</w:t>
      </w:r>
      <w:r w:rsidR="00075707">
        <w:rPr>
          <w:rFonts w:cs="Times New Roman"/>
          <w:sz w:val="22"/>
          <w:szCs w:val="22"/>
        </w:rPr>
        <w:t>erroriste (CROAT)</w:t>
      </w:r>
      <w:r w:rsidRPr="00087B91">
        <w:rPr>
          <w:rFonts w:cs="Times New Roman"/>
          <w:sz w:val="22"/>
          <w:szCs w:val="22"/>
        </w:rPr>
        <w:t xml:space="preserve">, pour sa part, a adressé 46 demandes d’informations aux </w:t>
      </w:r>
      <w:r w:rsidR="0055689F">
        <w:rPr>
          <w:rFonts w:cs="Times New Roman"/>
          <w:sz w:val="22"/>
          <w:szCs w:val="22"/>
        </w:rPr>
        <w:t>IF</w:t>
      </w:r>
      <w:r w:rsidRPr="00087B91">
        <w:rPr>
          <w:rFonts w:cs="Times New Roman"/>
          <w:sz w:val="22"/>
          <w:szCs w:val="22"/>
        </w:rPr>
        <w:t>, à certaines EPNFD et à d’autres autorités compétentes entre septembre 2024 et février 2025.</w:t>
      </w:r>
    </w:p>
    <w:p w14:paraId="27707498" w14:textId="4ACC2B43" w:rsidR="00087B91" w:rsidRPr="00087B91" w:rsidRDefault="00087B91" w:rsidP="00DD206B">
      <w:pPr>
        <w:tabs>
          <w:tab w:val="left" w:pos="567"/>
        </w:tabs>
        <w:spacing w:before="240" w:after="120" w:line="360" w:lineRule="auto"/>
        <w:contextualSpacing/>
        <w:jc w:val="both"/>
        <w:rPr>
          <w:rFonts w:cs="Times New Roman"/>
          <w:sz w:val="22"/>
          <w:szCs w:val="22"/>
        </w:rPr>
      </w:pPr>
      <w:r w:rsidRPr="00087B91">
        <w:rPr>
          <w:rFonts w:cs="Times New Roman"/>
          <w:sz w:val="22"/>
          <w:szCs w:val="22"/>
        </w:rPr>
        <w:t>Dans le même temps, la D</w:t>
      </w:r>
      <w:r w:rsidR="0055689F">
        <w:rPr>
          <w:rFonts w:cs="Times New Roman"/>
          <w:sz w:val="22"/>
          <w:szCs w:val="22"/>
        </w:rPr>
        <w:t xml:space="preserve">irection de la </w:t>
      </w:r>
      <w:r w:rsidRPr="00087B91">
        <w:rPr>
          <w:rFonts w:cs="Times New Roman"/>
          <w:sz w:val="22"/>
          <w:szCs w:val="22"/>
        </w:rPr>
        <w:t>P</w:t>
      </w:r>
      <w:r w:rsidR="0055689F">
        <w:rPr>
          <w:rFonts w:cs="Times New Roman"/>
          <w:sz w:val="22"/>
          <w:szCs w:val="22"/>
        </w:rPr>
        <w:t xml:space="preserve">olice </w:t>
      </w:r>
      <w:r w:rsidRPr="00087B91">
        <w:rPr>
          <w:rFonts w:cs="Times New Roman"/>
          <w:sz w:val="22"/>
          <w:szCs w:val="22"/>
        </w:rPr>
        <w:t>E</w:t>
      </w:r>
      <w:r w:rsidR="0055689F">
        <w:rPr>
          <w:rFonts w:cs="Times New Roman"/>
          <w:sz w:val="22"/>
          <w:szCs w:val="22"/>
        </w:rPr>
        <w:t xml:space="preserve">conomique et </w:t>
      </w:r>
      <w:r w:rsidRPr="00087B91">
        <w:rPr>
          <w:rFonts w:cs="Times New Roman"/>
          <w:sz w:val="22"/>
          <w:szCs w:val="22"/>
        </w:rPr>
        <w:t>F</w:t>
      </w:r>
      <w:r w:rsidR="0055689F">
        <w:rPr>
          <w:rFonts w:cs="Times New Roman"/>
          <w:sz w:val="22"/>
          <w:szCs w:val="22"/>
        </w:rPr>
        <w:t>inancière</w:t>
      </w:r>
      <w:r w:rsidR="002462F6">
        <w:rPr>
          <w:rFonts w:cs="Times New Roman"/>
          <w:sz w:val="22"/>
          <w:szCs w:val="22"/>
        </w:rPr>
        <w:t xml:space="preserve"> (DPEF)</w:t>
      </w:r>
      <w:r w:rsidRPr="00087B91">
        <w:rPr>
          <w:rFonts w:cs="Times New Roman"/>
          <w:sz w:val="22"/>
          <w:szCs w:val="22"/>
        </w:rPr>
        <w:t xml:space="preserve"> a également été sollicitée. De septembre 2024 à février 2025, elle a adressé 7 demandes d’informations à la CENTIF. Puis, entre mars et juin 2025, elle a formulé 12 nouvelles demandes aux </w:t>
      </w:r>
      <w:r w:rsidR="00EB2399">
        <w:rPr>
          <w:rFonts w:cs="Times New Roman"/>
          <w:sz w:val="22"/>
          <w:szCs w:val="22"/>
        </w:rPr>
        <w:t>IF</w:t>
      </w:r>
      <w:r w:rsidRPr="00087B91">
        <w:rPr>
          <w:rFonts w:cs="Times New Roman"/>
          <w:sz w:val="22"/>
          <w:szCs w:val="22"/>
        </w:rPr>
        <w:t xml:space="preserve"> et à certaines EPNFD.</w:t>
      </w:r>
    </w:p>
    <w:p w14:paraId="467748EB" w14:textId="0E4A53B5" w:rsidR="00087B91" w:rsidRPr="00087B91" w:rsidRDefault="00087B91" w:rsidP="00DD206B">
      <w:pPr>
        <w:tabs>
          <w:tab w:val="left" w:pos="567"/>
        </w:tabs>
        <w:spacing w:before="240" w:after="120" w:line="360" w:lineRule="auto"/>
        <w:contextualSpacing/>
        <w:jc w:val="both"/>
        <w:rPr>
          <w:rFonts w:cs="Times New Roman"/>
          <w:sz w:val="22"/>
          <w:szCs w:val="22"/>
        </w:rPr>
      </w:pPr>
      <w:r w:rsidRPr="00087B91">
        <w:rPr>
          <w:rFonts w:cs="Times New Roman"/>
          <w:sz w:val="22"/>
          <w:szCs w:val="22"/>
        </w:rPr>
        <w:t>Le tribunal militaire, dans cette même période (septembre 2024 – février 2025), a adressé une demande d’information à la CENTIF.</w:t>
      </w:r>
    </w:p>
    <w:p w14:paraId="7A61387C" w14:textId="76D7D7E2" w:rsidR="00CF7B3C" w:rsidRDefault="00087B91" w:rsidP="00DD206B">
      <w:pPr>
        <w:tabs>
          <w:tab w:val="left" w:pos="567"/>
        </w:tabs>
        <w:spacing w:before="240" w:after="120" w:line="360" w:lineRule="auto"/>
        <w:contextualSpacing/>
        <w:jc w:val="both"/>
        <w:rPr>
          <w:rFonts w:cs="Times New Roman"/>
          <w:sz w:val="22"/>
          <w:szCs w:val="22"/>
        </w:rPr>
      </w:pPr>
      <w:r>
        <w:rPr>
          <w:rFonts w:cs="Times New Roman"/>
          <w:sz w:val="22"/>
          <w:szCs w:val="22"/>
        </w:rPr>
        <w:t>S</w:t>
      </w:r>
      <w:r w:rsidRPr="00087B91">
        <w:rPr>
          <w:rFonts w:cs="Times New Roman"/>
          <w:sz w:val="22"/>
          <w:szCs w:val="22"/>
        </w:rPr>
        <w:t xml:space="preserve">elon </w:t>
      </w:r>
      <w:proofErr w:type="spellStart"/>
      <w:r w:rsidRPr="00087B91">
        <w:rPr>
          <w:rFonts w:cs="Times New Roman"/>
          <w:sz w:val="22"/>
          <w:szCs w:val="22"/>
        </w:rPr>
        <w:t>Transparency</w:t>
      </w:r>
      <w:proofErr w:type="spellEnd"/>
      <w:r w:rsidRPr="00087B91">
        <w:rPr>
          <w:rFonts w:cs="Times New Roman"/>
          <w:sz w:val="22"/>
          <w:szCs w:val="22"/>
        </w:rPr>
        <w:t xml:space="preserve"> International, le score de la Côte d’Ivoire est de 45/100 et le pays est classé 69ème sur 180. Cela dénote une progression dans la lutte contre la corruption. Cependant, les facteurs sus-décrits montrent que malgré cette amélioration</w:t>
      </w:r>
      <w:r w:rsidRPr="0021420E">
        <w:rPr>
          <w:rFonts w:cs="Times New Roman"/>
          <w:sz w:val="22"/>
          <w:szCs w:val="22"/>
        </w:rPr>
        <w:t xml:space="preserve">, </w:t>
      </w:r>
      <w:r w:rsidR="008770BB" w:rsidRPr="000E6CAC">
        <w:rPr>
          <w:rFonts w:cs="Times New Roman"/>
          <w:sz w:val="22"/>
          <w:szCs w:val="22"/>
        </w:rPr>
        <w:t xml:space="preserve">le niveau de la menace liée à la corruption est </w:t>
      </w:r>
      <w:r w:rsidR="008770BB" w:rsidRPr="000E6CAC">
        <w:rPr>
          <w:rFonts w:cs="Times New Roman"/>
          <w:b/>
          <w:bCs/>
          <w:sz w:val="22"/>
          <w:szCs w:val="22"/>
        </w:rPr>
        <w:t>« très élevé »</w:t>
      </w:r>
      <w:r w:rsidR="008770BB" w:rsidRPr="000E6CAC">
        <w:rPr>
          <w:rFonts w:cs="Times New Roman"/>
          <w:sz w:val="22"/>
          <w:szCs w:val="22"/>
        </w:rPr>
        <w:t>.</w:t>
      </w:r>
    </w:p>
    <w:p w14:paraId="1C15B493" w14:textId="77777777" w:rsidR="00187C0D" w:rsidRDefault="00187C0D" w:rsidP="00DD206B">
      <w:pPr>
        <w:tabs>
          <w:tab w:val="left" w:pos="567"/>
        </w:tabs>
        <w:spacing w:before="240" w:after="120" w:line="360" w:lineRule="auto"/>
        <w:contextualSpacing/>
        <w:jc w:val="both"/>
        <w:rPr>
          <w:rFonts w:cs="Times New Roman"/>
          <w:sz w:val="22"/>
          <w:szCs w:val="22"/>
        </w:rPr>
      </w:pPr>
    </w:p>
    <w:tbl>
      <w:tblPr>
        <w:tblStyle w:val="Grilledutableau"/>
        <w:tblW w:w="9356" w:type="dxa"/>
        <w:tblInd w:w="-147" w:type="dxa"/>
        <w:shd w:val="clear" w:color="auto" w:fill="E8E8E8" w:themeFill="background2"/>
        <w:tblLook w:val="04A0" w:firstRow="1" w:lastRow="0" w:firstColumn="1" w:lastColumn="0" w:noHBand="0" w:noVBand="1"/>
      </w:tblPr>
      <w:tblGrid>
        <w:gridCol w:w="9356"/>
      </w:tblGrid>
      <w:tr w:rsidR="00187C0D" w:rsidRPr="00A86A24" w14:paraId="4B09F776" w14:textId="77777777" w:rsidTr="00AC5A9F">
        <w:tc>
          <w:tcPr>
            <w:tcW w:w="9356" w:type="dxa"/>
            <w:shd w:val="clear" w:color="auto" w:fill="E8E8E8" w:themeFill="background2"/>
          </w:tcPr>
          <w:p w14:paraId="54B70AE4" w14:textId="324A89AC" w:rsidR="00187C0D" w:rsidRPr="00A86A24" w:rsidRDefault="00187C0D" w:rsidP="00DD206B">
            <w:pPr>
              <w:spacing w:after="0" w:line="360" w:lineRule="auto"/>
              <w:jc w:val="both"/>
              <w:rPr>
                <w:rFonts w:eastAsia="Times New Roman" w:cs="Times New Roman"/>
                <w:b/>
                <w:bCs/>
                <w:sz w:val="22"/>
                <w:szCs w:val="22"/>
                <w:u w:val="single"/>
                <w:lang w:val="fr-CI" w:eastAsia="fr-CI"/>
              </w:rPr>
            </w:pPr>
            <w:r w:rsidRPr="00A86A24">
              <w:rPr>
                <w:rFonts w:eastAsia="Times New Roman" w:cs="Times New Roman"/>
                <w:b/>
                <w:bCs/>
                <w:sz w:val="22"/>
                <w:szCs w:val="22"/>
                <w:u w:val="single"/>
                <w:lang w:val="fr-CI" w:eastAsia="fr-CI"/>
              </w:rPr>
              <w:t xml:space="preserve">Cas </w:t>
            </w:r>
            <w:r w:rsidR="00AA6921">
              <w:rPr>
                <w:rFonts w:eastAsia="Times New Roman" w:cs="Times New Roman"/>
                <w:b/>
                <w:bCs/>
                <w:sz w:val="22"/>
                <w:szCs w:val="22"/>
                <w:u w:val="single"/>
                <w:lang w:val="fr-CI" w:eastAsia="fr-CI"/>
              </w:rPr>
              <w:t>2</w:t>
            </w:r>
            <w:r w:rsidR="00670FA4">
              <w:rPr>
                <w:rFonts w:eastAsia="Times New Roman" w:cs="Times New Roman"/>
                <w:b/>
                <w:bCs/>
                <w:sz w:val="22"/>
                <w:szCs w:val="22"/>
                <w:u w:val="single"/>
                <w:lang w:val="fr-CI" w:eastAsia="fr-CI"/>
              </w:rPr>
              <w:t xml:space="preserve"> </w:t>
            </w:r>
            <w:r w:rsidRPr="00A86A24">
              <w:rPr>
                <w:rFonts w:eastAsia="Times New Roman" w:cs="Times New Roman"/>
                <w:b/>
                <w:bCs/>
                <w:sz w:val="22"/>
                <w:szCs w:val="22"/>
                <w:u w:val="single"/>
                <w:lang w:val="fr-CI" w:eastAsia="fr-CI"/>
              </w:rPr>
              <w:t xml:space="preserve">: Délit de corruption </w:t>
            </w:r>
          </w:p>
          <w:p w14:paraId="0D29B761" w14:textId="77777777" w:rsidR="00187C0D" w:rsidRPr="00A86A24" w:rsidRDefault="00187C0D" w:rsidP="00DD206B">
            <w:pPr>
              <w:spacing w:after="0" w:line="360" w:lineRule="auto"/>
              <w:jc w:val="both"/>
              <w:rPr>
                <w:rFonts w:eastAsia="Times New Roman" w:cs="Times New Roman"/>
                <w:sz w:val="22"/>
                <w:szCs w:val="22"/>
                <w:lang w:val="fr-CI" w:eastAsia="fr-CI"/>
              </w:rPr>
            </w:pPr>
            <w:r w:rsidRPr="00A86A24">
              <w:rPr>
                <w:rFonts w:eastAsia="Times New Roman" w:cs="Times New Roman"/>
                <w:sz w:val="22"/>
                <w:szCs w:val="22"/>
                <w:lang w:val="fr-CI" w:eastAsia="fr-CI"/>
              </w:rPr>
              <w:t>Le 20 mars 2023, un rapport des Renseignements Généraux mentionne l'existence d'un groupe de faussaires spécialisés dans la délivrance de faux documents administratifs (cartes et badges diplomatiques, certificats de nationalité ivoirienne, casiers judiciaires, etc.) à des ressortissants syriens et libanais contre le paiement de sommes allant de 1.800.000 FCFA (2.745 €) à 3.700.000 FCFA (5.660 €), des permis de port d'armes) à des ressortissants syriens et libanais contre le paiement de sommes allant de 1,800 000 FCFA (2 745 euros) à 3 700 000 FCFA (5 644 euros) par document pour des milliers de documents, pour un préjudice estimé à plus de 10 000 000 000 FCFA (plus de 15 000 000 euros).</w:t>
            </w:r>
          </w:p>
          <w:p w14:paraId="146CC2F5" w14:textId="77777777" w:rsidR="00187C0D" w:rsidRPr="00A86A24" w:rsidRDefault="00187C0D" w:rsidP="00DD206B">
            <w:pPr>
              <w:spacing w:after="0" w:line="360" w:lineRule="auto"/>
              <w:jc w:val="both"/>
              <w:rPr>
                <w:rFonts w:eastAsia="Times New Roman" w:cs="Times New Roman"/>
                <w:sz w:val="22"/>
                <w:szCs w:val="22"/>
                <w:lang w:val="fr-CI" w:eastAsia="fr-CI"/>
              </w:rPr>
            </w:pPr>
            <w:r w:rsidRPr="00A86A24">
              <w:rPr>
                <w:rFonts w:eastAsia="Times New Roman" w:cs="Times New Roman"/>
                <w:sz w:val="22"/>
                <w:szCs w:val="22"/>
                <w:lang w:val="fr-CI" w:eastAsia="fr-CI"/>
              </w:rPr>
              <w:t>L'enquête a mis en évidence un vaste réseau de fraude documentaire impliquant la participation active d'agents publics, dont des policiers et un greffier, dans un mode opératoire alimenté par la corruption. A l'issue du procès, une dizaine de personnes ont</w:t>
            </w:r>
          </w:p>
          <w:p w14:paraId="2B7FE5C1" w14:textId="77777777" w:rsidR="00187C0D" w:rsidRPr="00A86A24" w:rsidRDefault="00187C0D" w:rsidP="00DD206B">
            <w:pPr>
              <w:tabs>
                <w:tab w:val="left" w:pos="567"/>
              </w:tabs>
              <w:spacing w:before="240" w:after="120" w:line="360" w:lineRule="auto"/>
              <w:contextualSpacing/>
              <w:jc w:val="both"/>
              <w:rPr>
                <w:rFonts w:cs="Times New Roman"/>
                <w:sz w:val="22"/>
                <w:szCs w:val="22"/>
              </w:rPr>
            </w:pPr>
            <w:proofErr w:type="gramStart"/>
            <w:r w:rsidRPr="00A86A24">
              <w:rPr>
                <w:rFonts w:eastAsia="Times New Roman" w:cs="Times New Roman"/>
                <w:sz w:val="22"/>
                <w:szCs w:val="22"/>
                <w:lang w:val="fr-CI" w:eastAsia="fr-CI"/>
              </w:rPr>
              <w:t>été</w:t>
            </w:r>
            <w:proofErr w:type="gramEnd"/>
            <w:r w:rsidRPr="00A86A24">
              <w:rPr>
                <w:rFonts w:eastAsia="Times New Roman" w:cs="Times New Roman"/>
                <w:sz w:val="22"/>
                <w:szCs w:val="22"/>
                <w:lang w:val="fr-CI" w:eastAsia="fr-CI"/>
              </w:rPr>
              <w:t xml:space="preserve"> condamnées </w:t>
            </w:r>
            <w:r w:rsidRPr="00A86A24">
              <w:rPr>
                <w:rFonts w:cs="Times New Roman"/>
                <w:sz w:val="22"/>
                <w:szCs w:val="22"/>
              </w:rPr>
              <w:t>à des peines de prison dissuasives (de 06 à 36 mois) et un grand nombre de biens et d'actifs ont été confisqués</w:t>
            </w:r>
            <w:r w:rsidRPr="00A86A24">
              <w:rPr>
                <w:rFonts w:cs="Times New Roman"/>
                <w:sz w:val="22"/>
                <w:szCs w:val="22"/>
              </w:rPr>
              <w:tab/>
            </w:r>
          </w:p>
          <w:p w14:paraId="649DF228"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lastRenderedPageBreak/>
              <w:t>ETUDE DE CAS N°4 : Faux, détournement de deniers publics (infraction liée à la corruption), blanchiment d'argent.</w:t>
            </w:r>
          </w:p>
          <w:p w14:paraId="1A5FC898"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Liste des autorités concernées : CENTIF, FONCTION PUBLIQUE, DGI, TCA, CONSERVATION FONCIÈRE, BCEAO, CTIP et 1 INTERLOCUTEUR DE LA CRF</w:t>
            </w:r>
          </w:p>
          <w:p w14:paraId="679F1D73"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En novembre 2024, la CENTIF a reçu une DOD concernant un fonctionnaire public nommé BETA. Cet individu était soupçonné d'être impliqué dans des malversations financières au profit de l'État, en complicité avec un salarié d'une profession réglementée dénommée GAMMA.</w:t>
            </w:r>
          </w:p>
          <w:p w14:paraId="5E39A163"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Après une analyse préalable du dossier et la consultation de ses différentes bases de données, la CENTIF a adressé des demandes aux administrations et institutions suivantes :</w:t>
            </w:r>
          </w:p>
          <w:p w14:paraId="63F14049"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w:t>
            </w:r>
            <w:r w:rsidRPr="00A86A24">
              <w:rPr>
                <w:rFonts w:cs="Times New Roman"/>
                <w:sz w:val="22"/>
                <w:szCs w:val="22"/>
              </w:rPr>
              <w:tab/>
              <w:t>la BCEAO pour retracer l'ensemble des comptes bancaires des défendeurs ;</w:t>
            </w:r>
          </w:p>
          <w:p w14:paraId="393C0AE2"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w:t>
            </w:r>
            <w:r w:rsidRPr="00A86A24">
              <w:rPr>
                <w:rFonts w:cs="Times New Roman"/>
                <w:sz w:val="22"/>
                <w:szCs w:val="22"/>
              </w:rPr>
              <w:tab/>
              <w:t>TCA et DGI pour déterminer si BETA et GAMMA sont les bénéficiaires effectifs des personnes morales et, le cas échéant, pour les identifier, et établir leur position fiscale ;</w:t>
            </w:r>
          </w:p>
          <w:p w14:paraId="4F7A5C30"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w:t>
            </w:r>
            <w:r w:rsidRPr="00A86A24">
              <w:rPr>
                <w:rFonts w:cs="Times New Roman"/>
                <w:sz w:val="22"/>
                <w:szCs w:val="22"/>
              </w:rPr>
              <w:tab/>
              <w:t>Cadastre, pour savoir si ces personnes possèdent des biens.</w:t>
            </w:r>
          </w:p>
          <w:p w14:paraId="242F8058"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L'analyse des réponses à ces demandes d'informations a permis à la CENTIF d'identifier que M. BETA, le directeur financier d'un projet gouvernemental, avait manipulé les listes de personnes à indemniser en y insérant des noms fictifs. Avec la complicité de GAMMA, il avait ouvert plusieurs comptes bancaires, qui avaient reçu plusieurs virements du Trésor pour un montant de 1 678 892 916 FCFA, soit 2 559 489 €.</w:t>
            </w:r>
          </w:p>
          <w:p w14:paraId="4D5B80D1"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Ces comptes, entièrement contrôlés par GAMMA, ont été presque systématiquement débités par divers virements, remises de chèques et retraits d'espèces afin de créditer plusieurs autres comptes. Ces comptes comprennent :</w:t>
            </w:r>
          </w:p>
          <w:p w14:paraId="4A69AB64"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w:t>
            </w:r>
            <w:r w:rsidRPr="00A86A24">
              <w:rPr>
                <w:rFonts w:cs="Times New Roman"/>
                <w:sz w:val="22"/>
                <w:szCs w:val="22"/>
              </w:rPr>
              <w:tab/>
              <w:t>Sociétés (A1, A2, A3 et A4), dont une société immobilière détenue par BETA, qui ont été créditées d'un montant total de 721 358 566 FCFA (1 099 718 €) ;</w:t>
            </w:r>
          </w:p>
          <w:p w14:paraId="52E0F085"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w:t>
            </w:r>
            <w:r w:rsidRPr="00A86A24">
              <w:rPr>
                <w:rFonts w:cs="Times New Roman"/>
                <w:sz w:val="22"/>
                <w:szCs w:val="22"/>
              </w:rPr>
              <w:tab/>
              <w:t>Les proches de GAMMA, ainsi que la société A5, dont GAMMA est le bénéficiaire effectif, qui a reçu la somme totale de 316 414 506 FCFA (482 377 €).</w:t>
            </w:r>
          </w:p>
          <w:p w14:paraId="1A780C50"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Les analyses ont également révélé que le compte personnel de BETA, qui n'avait pas directement bénéficié de ces transactions, fonctionnait néanmoins d'une manière qui ne correspondait pas à son profil.</w:t>
            </w:r>
          </w:p>
          <w:p w14:paraId="0A7D256B"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En effet, bien que ce compte ait été ouvert pour encaisser ses versements de salaires, l'analyse des relevés de compte a révélé que du 16/05/2018 au 22/10/2024, il avait reçu 160 opérations de crédit composées de 102 dépôts en espèces de 667 152 450 FCFA (1 017 078 €), 24 chèques encaissés de 426 100 500 FCFA (649 594 €) et 34 virements de 165 160 000 FCFA (251 788 €), totalisant 1 258 612 950 FCFA (1 918 768 €).</w:t>
            </w:r>
          </w:p>
          <w:p w14:paraId="7E1130DD"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Ces différentes opérations ont été systématiquement suivies de différents débits, dont plusieurs virements d'un montant total de 280 267 700 FCFA (427 271 €) vers un pays de la sous-région. Ces transferts semblaient avoir été effectués pour l'achat de biens dans ce pays. Une demande d'information a été adressée à l'homologue de la CENTIF à cet effet.</w:t>
            </w:r>
          </w:p>
          <w:p w14:paraId="748C9AEC"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lastRenderedPageBreak/>
              <w:t>L'enquête de la CENTIF a également révélé que BETA et sa société A1 possédaient 49 propriétés situées dans plusieurs villes du pays. Parmi ceux-ci, 42 étaient enregistrés à son nom et 7 au nom de la société A1. Certaines de ces propriétés ont été utilisées pour lancer des développements immobiliers impliquant 45 villas et 4 appartements.</w:t>
            </w:r>
          </w:p>
          <w:p w14:paraId="51204DB0"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Suite à ces analyses, la CENTIF a transmis au PPEF une déclaration de renseignement financier pour faux, détournement de deniers publics (infraction liée à la corruption) et blanchiment de capitaux.</w:t>
            </w:r>
          </w:p>
          <w:p w14:paraId="5F513FD0" w14:textId="77777777" w:rsidR="00187C0D" w:rsidRPr="00A86A24" w:rsidRDefault="00187C0D"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L'accusé a été poursuivi et ses comptes bancaires ont été saisis. L'information judiciaire est en cours.</w:t>
            </w:r>
          </w:p>
        </w:tc>
      </w:tr>
    </w:tbl>
    <w:p w14:paraId="6B946FD6" w14:textId="77777777" w:rsidR="001E3DDB" w:rsidRDefault="001E3DDB" w:rsidP="00DD206B">
      <w:pPr>
        <w:tabs>
          <w:tab w:val="left" w:pos="567"/>
        </w:tabs>
        <w:spacing w:before="240" w:after="120" w:line="360" w:lineRule="auto"/>
        <w:contextualSpacing/>
        <w:jc w:val="both"/>
        <w:rPr>
          <w:rFonts w:cs="Times New Roman"/>
          <w:sz w:val="22"/>
          <w:szCs w:val="22"/>
        </w:rPr>
      </w:pPr>
    </w:p>
    <w:p w14:paraId="4721870A" w14:textId="77777777" w:rsidR="00CF7B3C" w:rsidRPr="00EA021A" w:rsidRDefault="00CF7B3C" w:rsidP="00DD206B">
      <w:pPr>
        <w:pStyle w:val="Titre4"/>
        <w:rPr>
          <w:sz w:val="22"/>
        </w:rPr>
      </w:pPr>
      <w:r w:rsidRPr="008F704B">
        <w:rPr>
          <w:sz w:val="22"/>
        </w:rPr>
        <w:tab/>
        <w:t xml:space="preserve">Evaluation de la menace liée à la Cybercriminalité </w:t>
      </w:r>
    </w:p>
    <w:p w14:paraId="34A14068" w14:textId="77777777" w:rsidR="00684DF8" w:rsidRDefault="00087B91" w:rsidP="00DD206B">
      <w:pPr>
        <w:tabs>
          <w:tab w:val="left" w:pos="567"/>
        </w:tabs>
        <w:spacing w:before="240" w:after="120" w:line="360" w:lineRule="auto"/>
        <w:contextualSpacing/>
        <w:jc w:val="both"/>
        <w:rPr>
          <w:rFonts w:cs="Times New Roman"/>
          <w:sz w:val="22"/>
          <w:szCs w:val="22"/>
        </w:rPr>
      </w:pPr>
      <w:r w:rsidRPr="00087B91">
        <w:rPr>
          <w:rFonts w:cs="Times New Roman"/>
          <w:sz w:val="22"/>
          <w:szCs w:val="22"/>
        </w:rPr>
        <w:t xml:space="preserve">En 2019, la menace de cybercriminalité avait été jugée « élevée </w:t>
      </w:r>
      <w:r w:rsidRPr="00684DF8">
        <w:rPr>
          <w:rFonts w:cs="Times New Roman"/>
          <w:sz w:val="22"/>
          <w:szCs w:val="22"/>
        </w:rPr>
        <w:t xml:space="preserve">». </w:t>
      </w:r>
    </w:p>
    <w:p w14:paraId="3FB8FB32" w14:textId="5F0B76D0" w:rsidR="00087B91" w:rsidRPr="00087B91" w:rsidRDefault="00684DF8" w:rsidP="00DD206B">
      <w:pPr>
        <w:tabs>
          <w:tab w:val="left" w:pos="567"/>
        </w:tabs>
        <w:spacing w:before="240" w:after="120" w:line="360" w:lineRule="auto"/>
        <w:contextualSpacing/>
        <w:jc w:val="both"/>
        <w:rPr>
          <w:rFonts w:cs="Times New Roman"/>
          <w:sz w:val="22"/>
          <w:szCs w:val="22"/>
        </w:rPr>
      </w:pPr>
      <w:r>
        <w:rPr>
          <w:rFonts w:cs="Times New Roman"/>
          <w:sz w:val="22"/>
          <w:szCs w:val="22"/>
        </w:rPr>
        <w:t>S</w:t>
      </w:r>
      <w:r w:rsidR="00087B91" w:rsidRPr="008F704B">
        <w:rPr>
          <w:rFonts w:cs="Times New Roman"/>
          <w:sz w:val="22"/>
          <w:szCs w:val="22"/>
        </w:rPr>
        <w:t xml:space="preserve">ur </w:t>
      </w:r>
      <w:r w:rsidR="00087B91">
        <w:rPr>
          <w:rFonts w:cs="Times New Roman"/>
          <w:sz w:val="22"/>
          <w:szCs w:val="22"/>
        </w:rPr>
        <w:t xml:space="preserve">la période de </w:t>
      </w:r>
      <w:r w:rsidR="00087B91" w:rsidRPr="00087B91">
        <w:rPr>
          <w:rFonts w:cs="Times New Roman"/>
          <w:sz w:val="22"/>
          <w:szCs w:val="22"/>
        </w:rPr>
        <w:t>juin 2022 à mai 2024, la CENTIF a reçu et traité 49 DOS relatifs à la cybercriminalité. Par la suite, de septembre 2024 à février 2025, elle a réalisé 10 diffusions spontanées auprès de la</w:t>
      </w:r>
      <w:r w:rsidR="00200622" w:rsidRPr="009F0687">
        <w:rPr>
          <w:rFonts w:cs="Times New Roman"/>
          <w:color w:val="FF0000"/>
          <w:sz w:val="22"/>
          <w:szCs w:val="22"/>
        </w:rPr>
        <w:t xml:space="preserve"> </w:t>
      </w:r>
      <w:r w:rsidR="00200622" w:rsidRPr="001E3DDB">
        <w:rPr>
          <w:rFonts w:cs="Times New Roman"/>
          <w:sz w:val="22"/>
          <w:szCs w:val="22"/>
        </w:rPr>
        <w:t>Direction de l’Informatique et des Traces Technologiques</w:t>
      </w:r>
      <w:r w:rsidR="00087B91" w:rsidRPr="001E3DDB">
        <w:rPr>
          <w:rFonts w:cs="Times New Roman"/>
          <w:sz w:val="22"/>
          <w:szCs w:val="22"/>
        </w:rPr>
        <w:t xml:space="preserve"> </w:t>
      </w:r>
      <w:r w:rsidR="00200622">
        <w:rPr>
          <w:rFonts w:cs="Times New Roman"/>
          <w:sz w:val="22"/>
          <w:szCs w:val="22"/>
        </w:rPr>
        <w:t>(</w:t>
      </w:r>
      <w:r w:rsidR="00087B91" w:rsidRPr="00087B91">
        <w:rPr>
          <w:rFonts w:cs="Times New Roman"/>
          <w:sz w:val="22"/>
          <w:szCs w:val="22"/>
        </w:rPr>
        <w:t>DITT</w:t>
      </w:r>
      <w:r w:rsidR="00200622">
        <w:rPr>
          <w:rFonts w:cs="Times New Roman"/>
          <w:sz w:val="22"/>
          <w:szCs w:val="22"/>
        </w:rPr>
        <w:t>)</w:t>
      </w:r>
      <w:r w:rsidR="00087B91" w:rsidRPr="00087B91">
        <w:rPr>
          <w:rFonts w:cs="Times New Roman"/>
          <w:sz w:val="22"/>
          <w:szCs w:val="22"/>
        </w:rPr>
        <w:t>. De mars à juin 2025, la CENTIF a procédé à 12 nouvelles diffusions auprès de la même direction.</w:t>
      </w:r>
    </w:p>
    <w:p w14:paraId="354E070B" w14:textId="346C0D67" w:rsidR="00087B91" w:rsidRPr="00087B91" w:rsidRDefault="00087B91" w:rsidP="00DD206B">
      <w:pPr>
        <w:tabs>
          <w:tab w:val="left" w:pos="567"/>
        </w:tabs>
        <w:spacing w:before="240" w:after="120" w:line="360" w:lineRule="auto"/>
        <w:contextualSpacing/>
        <w:jc w:val="both"/>
        <w:rPr>
          <w:rFonts w:cs="Times New Roman"/>
          <w:sz w:val="22"/>
          <w:szCs w:val="22"/>
        </w:rPr>
      </w:pPr>
      <w:r w:rsidRPr="00087B91">
        <w:rPr>
          <w:rFonts w:cs="Times New Roman"/>
          <w:sz w:val="22"/>
          <w:szCs w:val="22"/>
        </w:rPr>
        <w:t>Le PPEF, quant à lui, a enregistré 114 dossiers liés à la cybercriminalité sur la période de juin 2022 à mai 2024. En outre, de janvier 2024 à mars 2025, le PPEF a poursuivi 183 personnes dans 49 affaires de blanchiment de capitaux en lien avec la cybercriminalité.</w:t>
      </w:r>
      <w:r w:rsidR="00755C52">
        <w:rPr>
          <w:rFonts w:cs="Times New Roman"/>
          <w:sz w:val="22"/>
          <w:szCs w:val="22"/>
        </w:rPr>
        <w:t xml:space="preserve"> Par ailleurs, </w:t>
      </w:r>
      <w:r w:rsidR="00755C52" w:rsidRPr="0073678C">
        <w:rPr>
          <w:rFonts w:eastAsia="SimSun" w:cs="Times New Roman"/>
          <w:szCs w:val="20"/>
        </w:rPr>
        <w:t>du 1</w:t>
      </w:r>
      <w:r w:rsidR="00755C52" w:rsidRPr="0073678C">
        <w:rPr>
          <w:rFonts w:eastAsia="SimSun" w:cs="Times New Roman"/>
          <w:szCs w:val="20"/>
          <w:vertAlign w:val="superscript"/>
        </w:rPr>
        <w:t>er</w:t>
      </w:r>
      <w:r w:rsidR="00755C52" w:rsidRPr="0073678C">
        <w:rPr>
          <w:rFonts w:eastAsia="SimSun" w:cs="Times New Roman"/>
          <w:szCs w:val="20"/>
        </w:rPr>
        <w:t xml:space="preserve"> avril 2025 au 31 juillet 2025, 19 nouvelles affaires de BC en lien avec la cybercriminalité ont été ouvertes impliquant 55 personnes physiques et 02 personnes morales.</w:t>
      </w:r>
      <w:r w:rsidR="00755C52">
        <w:rPr>
          <w:rFonts w:eastAsia="SimSun" w:cs="Times New Roman"/>
          <w:szCs w:val="20"/>
        </w:rPr>
        <w:t xml:space="preserve"> </w:t>
      </w:r>
      <w:r w:rsidRPr="009F0687">
        <w:rPr>
          <w:rFonts w:cs="Times New Roman"/>
          <w:color w:val="FF0000"/>
          <w:sz w:val="22"/>
          <w:szCs w:val="22"/>
        </w:rPr>
        <w:t xml:space="preserve"> </w:t>
      </w:r>
      <w:r w:rsidR="00200622" w:rsidRPr="000E6CAC">
        <w:rPr>
          <w:rFonts w:cs="Times New Roman"/>
          <w:color w:val="000000" w:themeColor="text1"/>
          <w:sz w:val="22"/>
          <w:szCs w:val="22"/>
        </w:rPr>
        <w:t xml:space="preserve">La </w:t>
      </w:r>
      <w:r w:rsidRPr="000E6CAC">
        <w:rPr>
          <w:rFonts w:cs="Times New Roman"/>
          <w:color w:val="000000" w:themeColor="text1"/>
          <w:sz w:val="22"/>
          <w:szCs w:val="22"/>
        </w:rPr>
        <w:t xml:space="preserve">DITT </w:t>
      </w:r>
      <w:r w:rsidRPr="00087B91">
        <w:rPr>
          <w:rFonts w:cs="Times New Roman"/>
          <w:sz w:val="22"/>
          <w:szCs w:val="22"/>
        </w:rPr>
        <w:t xml:space="preserve">a traité, au cours de la période 2022 à 2023, 14 711 dossiers pour un préjudice évalué à 978 682 533 francs CFA. De juillet 2022 à août 2024, elle a adressé 2 474 réquisitions aux </w:t>
      </w:r>
      <w:r w:rsidR="00200622">
        <w:rPr>
          <w:rFonts w:cs="Times New Roman"/>
          <w:sz w:val="22"/>
          <w:szCs w:val="22"/>
        </w:rPr>
        <w:t>IF</w:t>
      </w:r>
      <w:r w:rsidRPr="00087B91">
        <w:rPr>
          <w:rFonts w:cs="Times New Roman"/>
          <w:sz w:val="22"/>
          <w:szCs w:val="22"/>
        </w:rPr>
        <w:t xml:space="preserve">, aux EPNFD et aux autres autorités compétentes relativement à la cybercriminalité. </w:t>
      </w:r>
      <w:r w:rsidR="00585720">
        <w:rPr>
          <w:rFonts w:cs="Times New Roman"/>
          <w:sz w:val="22"/>
          <w:szCs w:val="22"/>
        </w:rPr>
        <w:t>D</w:t>
      </w:r>
      <w:r w:rsidRPr="00087B91">
        <w:rPr>
          <w:rFonts w:cs="Times New Roman"/>
          <w:sz w:val="22"/>
          <w:szCs w:val="22"/>
        </w:rPr>
        <w:t xml:space="preserve">e septembre 2024 à février 2025, </w:t>
      </w:r>
      <w:r w:rsidR="00585720">
        <w:rPr>
          <w:rFonts w:cs="Times New Roman"/>
          <w:sz w:val="22"/>
          <w:szCs w:val="22"/>
        </w:rPr>
        <w:t xml:space="preserve">elle a </w:t>
      </w:r>
      <w:r w:rsidRPr="00087B91">
        <w:rPr>
          <w:rFonts w:cs="Times New Roman"/>
          <w:sz w:val="22"/>
          <w:szCs w:val="22"/>
        </w:rPr>
        <w:t>envoyé 615 requêtes aux IF, à certaines EPNFD et à d’autres autorités compétentes, faisant suite notamment aux diffusions de la CENTIF.</w:t>
      </w:r>
      <w:r w:rsidR="00114906">
        <w:rPr>
          <w:rFonts w:cs="Times New Roman"/>
          <w:sz w:val="22"/>
          <w:szCs w:val="22"/>
        </w:rPr>
        <w:t xml:space="preserve"> De mars à juillet 2025, la DITT a adressé 597demandes aux IF et aux EPNFD.</w:t>
      </w:r>
    </w:p>
    <w:p w14:paraId="0D9BFC3C" w14:textId="05DD27C1" w:rsidR="00087B91" w:rsidRPr="00087B91" w:rsidRDefault="00087B91" w:rsidP="00DD206B">
      <w:pPr>
        <w:tabs>
          <w:tab w:val="left" w:pos="567"/>
        </w:tabs>
        <w:spacing w:before="240" w:after="120" w:line="360" w:lineRule="auto"/>
        <w:contextualSpacing/>
        <w:jc w:val="both"/>
        <w:rPr>
          <w:rFonts w:cs="Times New Roman"/>
          <w:sz w:val="22"/>
          <w:szCs w:val="22"/>
        </w:rPr>
      </w:pPr>
      <w:r w:rsidRPr="00087B91">
        <w:rPr>
          <w:rFonts w:cs="Times New Roman"/>
          <w:sz w:val="22"/>
          <w:szCs w:val="22"/>
        </w:rPr>
        <w:t>Dans le même temps, le CROAT et la S</w:t>
      </w:r>
      <w:r w:rsidR="00585720">
        <w:rPr>
          <w:rFonts w:cs="Times New Roman"/>
          <w:sz w:val="22"/>
          <w:szCs w:val="22"/>
        </w:rPr>
        <w:t>ection d’</w:t>
      </w:r>
      <w:r w:rsidRPr="00087B91">
        <w:rPr>
          <w:rFonts w:cs="Times New Roman"/>
          <w:sz w:val="22"/>
          <w:szCs w:val="22"/>
        </w:rPr>
        <w:t>A</w:t>
      </w:r>
      <w:r w:rsidR="00585720">
        <w:rPr>
          <w:rFonts w:cs="Times New Roman"/>
          <w:sz w:val="22"/>
          <w:szCs w:val="22"/>
        </w:rPr>
        <w:t xml:space="preserve">nalyse des </w:t>
      </w:r>
      <w:r w:rsidRPr="00087B91">
        <w:rPr>
          <w:rFonts w:cs="Times New Roman"/>
          <w:sz w:val="22"/>
          <w:szCs w:val="22"/>
        </w:rPr>
        <w:t>T</w:t>
      </w:r>
      <w:r w:rsidR="00585720">
        <w:rPr>
          <w:rFonts w:cs="Times New Roman"/>
          <w:sz w:val="22"/>
          <w:szCs w:val="22"/>
        </w:rPr>
        <w:t xml:space="preserve">races </w:t>
      </w:r>
      <w:r w:rsidRPr="00087B91">
        <w:rPr>
          <w:rFonts w:cs="Times New Roman"/>
          <w:sz w:val="22"/>
          <w:szCs w:val="22"/>
        </w:rPr>
        <w:t>T</w:t>
      </w:r>
      <w:r w:rsidR="00585720">
        <w:rPr>
          <w:rFonts w:cs="Times New Roman"/>
          <w:sz w:val="22"/>
          <w:szCs w:val="22"/>
        </w:rPr>
        <w:t>echnologiques (SATT)</w:t>
      </w:r>
      <w:r w:rsidRPr="00087B91">
        <w:rPr>
          <w:rFonts w:cs="Times New Roman"/>
          <w:sz w:val="22"/>
          <w:szCs w:val="22"/>
        </w:rPr>
        <w:t xml:space="preserve"> ont adressé 327 réquisitions aux </w:t>
      </w:r>
      <w:r w:rsidR="00905736">
        <w:rPr>
          <w:rFonts w:cs="Times New Roman"/>
          <w:sz w:val="22"/>
          <w:szCs w:val="22"/>
        </w:rPr>
        <w:t>IF</w:t>
      </w:r>
      <w:r w:rsidRPr="00087B91">
        <w:rPr>
          <w:rFonts w:cs="Times New Roman"/>
          <w:sz w:val="22"/>
          <w:szCs w:val="22"/>
        </w:rPr>
        <w:t>, à certaines EPNFD et à d’autres autorités compétentes entre septembre 2024 et février 2025.</w:t>
      </w:r>
      <w:r w:rsidR="00E0213F" w:rsidRPr="00E0213F">
        <w:rPr>
          <w:rFonts w:cs="Times New Roman"/>
          <w:sz w:val="22"/>
          <w:szCs w:val="22"/>
        </w:rPr>
        <w:t xml:space="preserve"> </w:t>
      </w:r>
      <w:r w:rsidR="00E0213F">
        <w:rPr>
          <w:rFonts w:cs="Times New Roman"/>
          <w:sz w:val="22"/>
          <w:szCs w:val="22"/>
        </w:rPr>
        <w:t xml:space="preserve">De mars a juillet 2025, </w:t>
      </w:r>
      <w:r w:rsidR="00E0213F" w:rsidRPr="00087B91">
        <w:rPr>
          <w:rFonts w:cs="Times New Roman"/>
          <w:sz w:val="22"/>
          <w:szCs w:val="22"/>
        </w:rPr>
        <w:t>le CROAT et la SATT</w:t>
      </w:r>
      <w:r w:rsidR="00E0213F">
        <w:rPr>
          <w:rFonts w:cs="Times New Roman"/>
          <w:sz w:val="22"/>
          <w:szCs w:val="22"/>
        </w:rPr>
        <w:t xml:space="preserve"> ont adressé 515 </w:t>
      </w:r>
      <w:r w:rsidR="00A042A4">
        <w:rPr>
          <w:rFonts w:cs="Times New Roman"/>
          <w:sz w:val="22"/>
          <w:szCs w:val="22"/>
        </w:rPr>
        <w:t xml:space="preserve">réquisitions </w:t>
      </w:r>
      <w:r w:rsidR="00E0213F" w:rsidRPr="00087B91">
        <w:rPr>
          <w:rFonts w:cs="Times New Roman"/>
          <w:sz w:val="22"/>
          <w:szCs w:val="22"/>
        </w:rPr>
        <w:t xml:space="preserve">aux </w:t>
      </w:r>
      <w:r w:rsidR="00905736">
        <w:rPr>
          <w:rFonts w:cs="Times New Roman"/>
          <w:sz w:val="22"/>
          <w:szCs w:val="22"/>
        </w:rPr>
        <w:t>IF</w:t>
      </w:r>
      <w:r w:rsidR="00755C52">
        <w:rPr>
          <w:rFonts w:cs="Times New Roman"/>
          <w:sz w:val="22"/>
          <w:szCs w:val="22"/>
        </w:rPr>
        <w:t>.</w:t>
      </w:r>
    </w:p>
    <w:p w14:paraId="48392F3A" w14:textId="2EDBAD52" w:rsidR="00CF7B3C" w:rsidRPr="009F0687" w:rsidRDefault="00EA1699" w:rsidP="00DD206B">
      <w:pPr>
        <w:tabs>
          <w:tab w:val="left" w:pos="567"/>
        </w:tabs>
        <w:spacing w:before="240" w:after="120" w:line="360" w:lineRule="auto"/>
        <w:contextualSpacing/>
        <w:jc w:val="both"/>
        <w:rPr>
          <w:rFonts w:cs="Times New Roman"/>
          <w:color w:val="FF0000"/>
          <w:sz w:val="22"/>
          <w:szCs w:val="22"/>
          <w:lang w:val="fr-CI"/>
        </w:rPr>
      </w:pPr>
      <w:r w:rsidRPr="000E6CAC">
        <w:rPr>
          <w:rFonts w:cs="Times New Roman"/>
          <w:sz w:val="22"/>
          <w:szCs w:val="22"/>
        </w:rPr>
        <w:t>De</w:t>
      </w:r>
      <w:r w:rsidR="00684DF8" w:rsidRPr="000E6CAC">
        <w:rPr>
          <w:rFonts w:cs="Times New Roman"/>
          <w:sz w:val="22"/>
          <w:szCs w:val="22"/>
        </w:rPr>
        <w:t xml:space="preserve"> </w:t>
      </w:r>
      <w:r w:rsidR="00EA5865">
        <w:rPr>
          <w:rFonts w:cs="Times New Roman"/>
          <w:sz w:val="22"/>
          <w:szCs w:val="22"/>
        </w:rPr>
        <w:t>ce</w:t>
      </w:r>
      <w:r w:rsidR="00684DF8" w:rsidRPr="000E6CAC">
        <w:rPr>
          <w:rFonts w:cs="Times New Roman"/>
          <w:sz w:val="22"/>
          <w:szCs w:val="22"/>
        </w:rPr>
        <w:t xml:space="preserve"> qui précède,</w:t>
      </w:r>
      <w:r w:rsidR="00087B91" w:rsidRPr="000E6CAC">
        <w:rPr>
          <w:rFonts w:cs="Times New Roman"/>
          <w:sz w:val="22"/>
          <w:szCs w:val="22"/>
        </w:rPr>
        <w:t xml:space="preserve"> </w:t>
      </w:r>
      <w:r w:rsidR="00684DF8" w:rsidRPr="000E6CAC">
        <w:rPr>
          <w:rFonts w:cs="Times New Roman"/>
          <w:sz w:val="22"/>
          <w:szCs w:val="22"/>
        </w:rPr>
        <w:t>le niveau de la menace intérieure</w:t>
      </w:r>
      <w:r w:rsidRPr="000E6CAC">
        <w:rPr>
          <w:rFonts w:cs="Times New Roman"/>
          <w:sz w:val="22"/>
          <w:szCs w:val="22"/>
        </w:rPr>
        <w:t xml:space="preserve"> lié à la cybercriminalité</w:t>
      </w:r>
      <w:r w:rsidR="00684DF8" w:rsidRPr="000E6CAC">
        <w:rPr>
          <w:rFonts w:cs="Times New Roman"/>
          <w:sz w:val="22"/>
          <w:szCs w:val="22"/>
        </w:rPr>
        <w:t xml:space="preserve"> </w:t>
      </w:r>
      <w:r w:rsidRPr="000E6CAC">
        <w:rPr>
          <w:rFonts w:cs="Times New Roman"/>
          <w:sz w:val="22"/>
          <w:szCs w:val="22"/>
        </w:rPr>
        <w:t xml:space="preserve">est </w:t>
      </w:r>
      <w:r w:rsidR="00087B91" w:rsidRPr="000E6CAC">
        <w:rPr>
          <w:rFonts w:cs="Times New Roman"/>
          <w:b/>
          <w:bCs/>
          <w:sz w:val="22"/>
          <w:szCs w:val="22"/>
        </w:rPr>
        <w:t xml:space="preserve">« </w:t>
      </w:r>
      <w:r w:rsidR="00AF60EC" w:rsidRPr="000E6CAC">
        <w:rPr>
          <w:rFonts w:cs="Times New Roman"/>
          <w:b/>
          <w:bCs/>
          <w:sz w:val="22"/>
          <w:szCs w:val="22"/>
        </w:rPr>
        <w:t>t</w:t>
      </w:r>
      <w:r w:rsidR="00087B91" w:rsidRPr="000E6CAC">
        <w:rPr>
          <w:rFonts w:cs="Times New Roman"/>
          <w:b/>
          <w:bCs/>
          <w:sz w:val="22"/>
          <w:szCs w:val="22"/>
        </w:rPr>
        <w:t>rès élevé »</w:t>
      </w:r>
      <w:r w:rsidR="00087B91" w:rsidRPr="000E6CAC">
        <w:rPr>
          <w:rFonts w:cs="Times New Roman"/>
          <w:sz w:val="22"/>
          <w:szCs w:val="22"/>
        </w:rPr>
        <w:t xml:space="preserve">. </w:t>
      </w:r>
    </w:p>
    <w:p w14:paraId="1DCCB13D" w14:textId="77777777" w:rsidR="001E3DDB" w:rsidRDefault="001E3DDB" w:rsidP="00DD206B">
      <w:pPr>
        <w:tabs>
          <w:tab w:val="left" w:pos="567"/>
        </w:tabs>
        <w:spacing w:before="240" w:after="120" w:line="360" w:lineRule="auto"/>
        <w:contextualSpacing/>
        <w:jc w:val="both"/>
        <w:rPr>
          <w:rFonts w:cs="Times New Roman"/>
          <w:sz w:val="22"/>
          <w:szCs w:val="22"/>
          <w:lang w:val="fr-CI"/>
        </w:rPr>
      </w:pPr>
    </w:p>
    <w:tbl>
      <w:tblPr>
        <w:tblStyle w:val="Grilledutableau"/>
        <w:tblW w:w="9209" w:type="dxa"/>
        <w:shd w:val="clear" w:color="auto" w:fill="E8E8E8" w:themeFill="background2"/>
        <w:tblLook w:val="04A0" w:firstRow="1" w:lastRow="0" w:firstColumn="1" w:lastColumn="0" w:noHBand="0" w:noVBand="1"/>
      </w:tblPr>
      <w:tblGrid>
        <w:gridCol w:w="9209"/>
      </w:tblGrid>
      <w:tr w:rsidR="001E3DDB" w:rsidRPr="00A86A24" w14:paraId="5B4B652F" w14:textId="77777777" w:rsidTr="00AC5A9F">
        <w:tc>
          <w:tcPr>
            <w:tcW w:w="9209" w:type="dxa"/>
            <w:shd w:val="clear" w:color="auto" w:fill="E8E8E8" w:themeFill="background2"/>
          </w:tcPr>
          <w:p w14:paraId="7F30681B" w14:textId="21058731" w:rsidR="001E3DDB" w:rsidRPr="00A86A24" w:rsidRDefault="001E3DDB" w:rsidP="00DD206B">
            <w:pPr>
              <w:tabs>
                <w:tab w:val="left" w:pos="567"/>
              </w:tabs>
              <w:spacing w:before="240" w:after="120" w:line="360" w:lineRule="auto"/>
              <w:contextualSpacing/>
              <w:jc w:val="both"/>
              <w:rPr>
                <w:rFonts w:cs="Times New Roman"/>
                <w:b/>
                <w:bCs/>
                <w:sz w:val="22"/>
                <w:szCs w:val="22"/>
                <w:u w:val="single"/>
              </w:rPr>
            </w:pPr>
            <w:r w:rsidRPr="00A86A24">
              <w:rPr>
                <w:rFonts w:cs="Times New Roman"/>
                <w:b/>
                <w:bCs/>
                <w:sz w:val="22"/>
                <w:szCs w:val="22"/>
                <w:u w:val="single"/>
              </w:rPr>
              <w:t xml:space="preserve">Cas </w:t>
            </w:r>
            <w:r w:rsidR="00AA6921">
              <w:rPr>
                <w:rFonts w:cs="Times New Roman"/>
                <w:b/>
                <w:bCs/>
                <w:sz w:val="22"/>
                <w:szCs w:val="22"/>
                <w:u w:val="single"/>
              </w:rPr>
              <w:t>3</w:t>
            </w:r>
            <w:r w:rsidRPr="00A86A24">
              <w:rPr>
                <w:rFonts w:cs="Times New Roman"/>
                <w:b/>
                <w:bCs/>
                <w:sz w:val="22"/>
                <w:szCs w:val="22"/>
                <w:u w:val="single"/>
              </w:rPr>
              <w:t xml:space="preserve"> : Cybercriminalité</w:t>
            </w:r>
          </w:p>
          <w:p w14:paraId="7F16E132" w14:textId="77777777" w:rsidR="001E3DDB" w:rsidRPr="00A86A24" w:rsidRDefault="001E3DDB"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Vol de 254.000.000 FCFA (387 538 euros) sur porte-monnaie électronique (mobile Banking).</w:t>
            </w:r>
          </w:p>
          <w:p w14:paraId="2BCA3214" w14:textId="77777777" w:rsidR="001E3DDB" w:rsidRPr="00A86A24" w:rsidRDefault="001E3DDB"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lastRenderedPageBreak/>
              <w:t xml:space="preserve">La plainte d'une entreprise à un opérateur de mobile Banking suite à la perte de l'accès à son compte mobile money a permis de faire le constat   d'un vol portant sur la somme de 254.000.000 FCFA (387 538 euros). </w:t>
            </w:r>
          </w:p>
          <w:p w14:paraId="06EFE6EF" w14:textId="77777777" w:rsidR="001E3DDB" w:rsidRPr="00A86A24" w:rsidRDefault="001E3DDB"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Les cybers délinquants, après avoir eu connaissance de l’existence de ce compte, ont retiré frauduleusement le numéro (SIM SWAP frauduleux), réinitialisé le mot de passe en usant de tromperie et de corruption envers les agents chargés de le faire et transféré les fonds sur 246 cartes SIM frauduleusement activées pour la circonstance.  Ils ont par ailleurs, procédé au retrait systématique de l'argent en le transférant sur les cartes SIM. L’exploitation des relevés de transaction mobile money a permis l’interpellation de 23 personnes, dont 14 déférées devant le Pôle Pénal Économique et financier.</w:t>
            </w:r>
          </w:p>
          <w:p w14:paraId="3C7B251C" w14:textId="77777777" w:rsidR="001E3DDB" w:rsidRPr="00A86A24" w:rsidRDefault="001E3DDB" w:rsidP="00DD206B">
            <w:pPr>
              <w:tabs>
                <w:tab w:val="left" w:pos="567"/>
              </w:tabs>
              <w:spacing w:before="240" w:after="120" w:line="360" w:lineRule="auto"/>
              <w:contextualSpacing/>
              <w:jc w:val="both"/>
              <w:rPr>
                <w:rFonts w:cs="Times New Roman"/>
                <w:sz w:val="22"/>
                <w:szCs w:val="22"/>
              </w:rPr>
            </w:pPr>
            <w:r w:rsidRPr="00A86A24">
              <w:rPr>
                <w:rFonts w:cs="Times New Roman"/>
                <w:sz w:val="22"/>
                <w:szCs w:val="22"/>
              </w:rPr>
              <w:t>Le recours au renseignement financier a permis d’établir une corrélation entre les personnes impliquées et aussi de suivre les traces des fonds détournés jusqu’aux bénéficiaires effectifs. Deux véhicules d’une valeur estimée à la somme de 10 000 000 FCFA (15 257 euros), acquis à la suite de ce vol ont été mis à la disposition du PPEF. Une enquête patrimoniale est en cours à l’effet d’identifier les biens immobiliers.</w:t>
            </w:r>
          </w:p>
        </w:tc>
      </w:tr>
    </w:tbl>
    <w:p w14:paraId="277F6FDE" w14:textId="77777777" w:rsidR="001E3DDB" w:rsidRPr="005D071D" w:rsidRDefault="001E3DDB" w:rsidP="00DD206B">
      <w:pPr>
        <w:tabs>
          <w:tab w:val="left" w:pos="567"/>
        </w:tabs>
        <w:spacing w:before="240" w:after="120" w:line="360" w:lineRule="auto"/>
        <w:contextualSpacing/>
        <w:jc w:val="both"/>
        <w:rPr>
          <w:rFonts w:cs="Times New Roman"/>
          <w:sz w:val="22"/>
          <w:szCs w:val="22"/>
          <w:lang w:val="fr-CI"/>
        </w:rPr>
      </w:pPr>
    </w:p>
    <w:p w14:paraId="23A75358" w14:textId="77777777" w:rsidR="00CF7B3C" w:rsidRPr="008F704B" w:rsidRDefault="00CF7B3C" w:rsidP="00DD206B">
      <w:pPr>
        <w:pStyle w:val="Titre4"/>
        <w:rPr>
          <w:sz w:val="22"/>
        </w:rPr>
      </w:pPr>
      <w:r w:rsidRPr="008F704B">
        <w:rPr>
          <w:sz w:val="22"/>
        </w:rPr>
        <w:tab/>
        <w:t>Evaluation de la menace liée à la fraude fiscale</w:t>
      </w:r>
    </w:p>
    <w:p w14:paraId="2D00E648" w14:textId="77777777" w:rsidR="00AF0706" w:rsidRDefault="00196809" w:rsidP="00AF0706">
      <w:pPr>
        <w:tabs>
          <w:tab w:val="left" w:pos="567"/>
        </w:tabs>
        <w:spacing w:before="240" w:after="120" w:line="360" w:lineRule="auto"/>
        <w:jc w:val="both"/>
        <w:rPr>
          <w:rFonts w:cs="Times New Roman"/>
          <w:sz w:val="22"/>
          <w:szCs w:val="22"/>
        </w:rPr>
      </w:pPr>
      <w:r w:rsidRPr="00196809">
        <w:rPr>
          <w:rFonts w:cs="Times New Roman"/>
          <w:sz w:val="22"/>
          <w:szCs w:val="22"/>
        </w:rPr>
        <w:t>L’analyse des risques en 2019 a conclu que la menace liée à la fraude fiscale était « élevée ». Cela est dû notamment aux fraudes à la fiscalité douanière, aux fraudes aux contributions indirectes, aux fraudes à l’exportation, à la fuite illicite de capitaux ainsi qu’aux habitudes culturelles et au transport d’importants volumes d’espèces.</w:t>
      </w:r>
    </w:p>
    <w:p w14:paraId="76B3B346" w14:textId="79BEEFC2" w:rsidR="008155F9" w:rsidRPr="00196809" w:rsidRDefault="008155F9" w:rsidP="00AF0706">
      <w:pPr>
        <w:tabs>
          <w:tab w:val="left" w:pos="567"/>
        </w:tabs>
        <w:spacing w:before="240" w:after="120" w:line="360" w:lineRule="auto"/>
        <w:jc w:val="both"/>
        <w:rPr>
          <w:rFonts w:cs="Times New Roman"/>
          <w:sz w:val="22"/>
          <w:szCs w:val="22"/>
        </w:rPr>
      </w:pPr>
      <w:r w:rsidRPr="008155F9">
        <w:rPr>
          <w:rFonts w:cs="Times New Roman"/>
          <w:sz w:val="22"/>
          <w:szCs w:val="22"/>
        </w:rPr>
        <w:t>Les conséquences de ces fraudes se chiffrent en pertes colossales et privent</w:t>
      </w:r>
      <w:r w:rsidRPr="00BA2B32">
        <w:rPr>
          <w:rFonts w:cs="Times New Roman"/>
          <w:sz w:val="22"/>
          <w:szCs w:val="22"/>
        </w:rPr>
        <w:t xml:space="preserve"> directement l’Etat</w:t>
      </w:r>
      <w:r w:rsidRPr="008155F9">
        <w:rPr>
          <w:rFonts w:cs="Times New Roman"/>
          <w:sz w:val="22"/>
          <w:szCs w:val="22"/>
        </w:rPr>
        <w:t xml:space="preserve"> des moyens d’agir. </w:t>
      </w:r>
      <w:r w:rsidRPr="00BA2B32">
        <w:rPr>
          <w:rFonts w:cs="Times New Roman"/>
          <w:sz w:val="22"/>
          <w:szCs w:val="22"/>
        </w:rPr>
        <w:t xml:space="preserve">En effet, </w:t>
      </w:r>
      <w:r w:rsidRPr="008155F9">
        <w:rPr>
          <w:rFonts w:cs="Times New Roman"/>
          <w:sz w:val="22"/>
          <w:szCs w:val="22"/>
        </w:rPr>
        <w:t xml:space="preserve">le manque à gagner annuel </w:t>
      </w:r>
      <w:proofErr w:type="gramStart"/>
      <w:r w:rsidRPr="00BA2B32">
        <w:rPr>
          <w:rFonts w:cs="Times New Roman"/>
          <w:sz w:val="22"/>
          <w:szCs w:val="22"/>
        </w:rPr>
        <w:t>lié</w:t>
      </w:r>
      <w:proofErr w:type="gramEnd"/>
      <w:r w:rsidRPr="00BA2B32">
        <w:rPr>
          <w:rFonts w:cs="Times New Roman"/>
          <w:sz w:val="22"/>
          <w:szCs w:val="22"/>
        </w:rPr>
        <w:t xml:space="preserve"> à la fraude fiscale </w:t>
      </w:r>
      <w:r w:rsidRPr="008155F9">
        <w:rPr>
          <w:rFonts w:cs="Times New Roman"/>
          <w:sz w:val="22"/>
          <w:szCs w:val="22"/>
        </w:rPr>
        <w:t>avoisi</w:t>
      </w:r>
      <w:r w:rsidRPr="00BA2B32">
        <w:rPr>
          <w:rFonts w:cs="Times New Roman"/>
          <w:sz w:val="22"/>
          <w:szCs w:val="22"/>
        </w:rPr>
        <w:t>ne des centaines</w:t>
      </w:r>
      <w:r w:rsidRPr="008155F9">
        <w:rPr>
          <w:rFonts w:cs="Times New Roman"/>
          <w:sz w:val="22"/>
          <w:szCs w:val="22"/>
        </w:rPr>
        <w:t xml:space="preserve"> </w:t>
      </w:r>
      <w:r w:rsidRPr="00BA2B32">
        <w:rPr>
          <w:rFonts w:cs="Times New Roman"/>
          <w:sz w:val="22"/>
          <w:szCs w:val="22"/>
        </w:rPr>
        <w:t>d</w:t>
      </w:r>
      <w:r w:rsidRPr="008155F9">
        <w:rPr>
          <w:rFonts w:cs="Times New Roman"/>
          <w:sz w:val="22"/>
          <w:szCs w:val="22"/>
        </w:rPr>
        <w:t>e</w:t>
      </w:r>
      <w:r w:rsidRPr="00BA2B32">
        <w:rPr>
          <w:rFonts w:cs="Times New Roman"/>
          <w:sz w:val="22"/>
          <w:szCs w:val="22"/>
        </w:rPr>
        <w:t xml:space="preserve"> milliards de francs CFA</w:t>
      </w:r>
      <w:r w:rsidRPr="008155F9">
        <w:rPr>
          <w:rFonts w:cs="Times New Roman"/>
          <w:sz w:val="22"/>
          <w:szCs w:val="22"/>
        </w:rPr>
        <w:t xml:space="preserve">. </w:t>
      </w:r>
    </w:p>
    <w:p w14:paraId="49206B8E" w14:textId="06A577BC" w:rsidR="00196809" w:rsidRPr="00196809" w:rsidRDefault="008155F9" w:rsidP="00DD206B">
      <w:pPr>
        <w:tabs>
          <w:tab w:val="left" w:pos="567"/>
        </w:tabs>
        <w:spacing w:before="240" w:after="120" w:line="360" w:lineRule="auto"/>
        <w:jc w:val="both"/>
        <w:rPr>
          <w:rFonts w:cs="Times New Roman"/>
          <w:sz w:val="22"/>
          <w:szCs w:val="22"/>
        </w:rPr>
      </w:pPr>
      <w:r w:rsidRPr="001E6CF9">
        <w:rPr>
          <w:rFonts w:cs="Times New Roman"/>
          <w:sz w:val="22"/>
          <w:szCs w:val="22"/>
        </w:rPr>
        <w:t>Les chiffres de nos structures spécialisées ne font que confirmer l'ampleur du défi.</w:t>
      </w:r>
      <w:r>
        <w:rPr>
          <w:rFonts w:cs="Times New Roman"/>
          <w:sz w:val="22"/>
          <w:szCs w:val="22"/>
        </w:rPr>
        <w:t xml:space="preserve"> Ainsi, d</w:t>
      </w:r>
      <w:r w:rsidR="00196809" w:rsidRPr="00196809">
        <w:rPr>
          <w:rFonts w:cs="Times New Roman"/>
          <w:sz w:val="22"/>
          <w:szCs w:val="22"/>
        </w:rPr>
        <w:t>e juin 2022 à mai 2024, la CENTIF a reçu 234 DOS relatifs à la fraude fiscale. Entre septembre 2024 et février 2025, elle a reçu 17 demandes d’information de la part de la D</w:t>
      </w:r>
      <w:r w:rsidR="00AB343E">
        <w:rPr>
          <w:rFonts w:cs="Times New Roman"/>
          <w:sz w:val="22"/>
          <w:szCs w:val="22"/>
        </w:rPr>
        <w:t xml:space="preserve">irection </w:t>
      </w:r>
      <w:r w:rsidR="00AB343E" w:rsidRPr="00196809">
        <w:rPr>
          <w:rFonts w:cs="Times New Roman"/>
          <w:sz w:val="22"/>
          <w:szCs w:val="22"/>
        </w:rPr>
        <w:t>G</w:t>
      </w:r>
      <w:r w:rsidR="00AB343E">
        <w:rPr>
          <w:rFonts w:cs="Times New Roman"/>
          <w:sz w:val="22"/>
          <w:szCs w:val="22"/>
        </w:rPr>
        <w:t xml:space="preserve">énérale des </w:t>
      </w:r>
      <w:r w:rsidR="00196809" w:rsidRPr="00196809">
        <w:rPr>
          <w:rFonts w:cs="Times New Roman"/>
          <w:sz w:val="22"/>
          <w:szCs w:val="22"/>
        </w:rPr>
        <w:t>M</w:t>
      </w:r>
      <w:r w:rsidR="00AB343E">
        <w:rPr>
          <w:rFonts w:cs="Times New Roman"/>
          <w:sz w:val="22"/>
          <w:szCs w:val="22"/>
        </w:rPr>
        <w:t xml:space="preserve">ines et de la </w:t>
      </w:r>
      <w:r w:rsidR="00196809" w:rsidRPr="00196809">
        <w:rPr>
          <w:rFonts w:cs="Times New Roman"/>
          <w:sz w:val="22"/>
          <w:szCs w:val="22"/>
        </w:rPr>
        <w:t>G</w:t>
      </w:r>
      <w:r w:rsidR="00AB343E">
        <w:rPr>
          <w:rFonts w:cs="Times New Roman"/>
          <w:sz w:val="22"/>
          <w:szCs w:val="22"/>
        </w:rPr>
        <w:t>éologie (DGMG)</w:t>
      </w:r>
      <w:r w:rsidR="00196809" w:rsidRPr="00196809">
        <w:rPr>
          <w:rFonts w:cs="Times New Roman"/>
          <w:sz w:val="22"/>
          <w:szCs w:val="22"/>
        </w:rPr>
        <w:t xml:space="preserve"> concernant cette infraction, et a procédé à des diffusions spontanées auprès du PPEF (17) et de la D</w:t>
      </w:r>
      <w:r w:rsidR="00AB343E">
        <w:rPr>
          <w:rFonts w:cs="Times New Roman"/>
          <w:sz w:val="22"/>
          <w:szCs w:val="22"/>
        </w:rPr>
        <w:t xml:space="preserve">irection </w:t>
      </w:r>
      <w:r w:rsidR="00196809" w:rsidRPr="00196809">
        <w:rPr>
          <w:rFonts w:cs="Times New Roman"/>
          <w:sz w:val="22"/>
          <w:szCs w:val="22"/>
        </w:rPr>
        <w:t>G</w:t>
      </w:r>
      <w:r w:rsidR="00AB343E">
        <w:rPr>
          <w:rFonts w:cs="Times New Roman"/>
          <w:sz w:val="22"/>
          <w:szCs w:val="22"/>
        </w:rPr>
        <w:t xml:space="preserve">énérale des </w:t>
      </w:r>
      <w:r w:rsidR="00AB343E" w:rsidRPr="00196809">
        <w:rPr>
          <w:rFonts w:cs="Times New Roman"/>
          <w:sz w:val="22"/>
          <w:szCs w:val="22"/>
        </w:rPr>
        <w:t>I</w:t>
      </w:r>
      <w:r w:rsidR="00AB343E">
        <w:rPr>
          <w:rFonts w:cs="Times New Roman"/>
          <w:sz w:val="22"/>
          <w:szCs w:val="22"/>
        </w:rPr>
        <w:t>mpôts (DGI)</w:t>
      </w:r>
      <w:r w:rsidR="00196809" w:rsidRPr="00196809">
        <w:rPr>
          <w:rFonts w:cs="Times New Roman"/>
          <w:sz w:val="22"/>
          <w:szCs w:val="22"/>
        </w:rPr>
        <w:t xml:space="preserve"> (27). Dans le cadre de la fraude fiscale et douanière, la CENTIF a en outre diffusé 8 informations à la D</w:t>
      </w:r>
      <w:r w:rsidR="00AB343E">
        <w:rPr>
          <w:rFonts w:cs="Times New Roman"/>
          <w:sz w:val="22"/>
          <w:szCs w:val="22"/>
        </w:rPr>
        <w:t xml:space="preserve">irection </w:t>
      </w:r>
      <w:r w:rsidR="00196809" w:rsidRPr="00196809">
        <w:rPr>
          <w:rFonts w:cs="Times New Roman"/>
          <w:sz w:val="22"/>
          <w:szCs w:val="22"/>
        </w:rPr>
        <w:t>G</w:t>
      </w:r>
      <w:r w:rsidR="00AB343E">
        <w:rPr>
          <w:rFonts w:cs="Times New Roman"/>
          <w:sz w:val="22"/>
          <w:szCs w:val="22"/>
        </w:rPr>
        <w:t xml:space="preserve">énérale des </w:t>
      </w:r>
      <w:r w:rsidR="00196809" w:rsidRPr="00196809">
        <w:rPr>
          <w:rFonts w:cs="Times New Roman"/>
          <w:sz w:val="22"/>
          <w:szCs w:val="22"/>
        </w:rPr>
        <w:t>D</w:t>
      </w:r>
      <w:r w:rsidR="00AB343E">
        <w:rPr>
          <w:rFonts w:cs="Times New Roman"/>
          <w:sz w:val="22"/>
          <w:szCs w:val="22"/>
        </w:rPr>
        <w:t>ouanes (DGD)</w:t>
      </w:r>
      <w:r w:rsidR="00196809" w:rsidRPr="00196809">
        <w:rPr>
          <w:rFonts w:cs="Times New Roman"/>
          <w:sz w:val="22"/>
          <w:szCs w:val="22"/>
        </w:rPr>
        <w:t xml:space="preserve">. De </w:t>
      </w:r>
      <w:r w:rsidR="00BE332F">
        <w:rPr>
          <w:rFonts w:cs="Times New Roman"/>
          <w:sz w:val="22"/>
          <w:szCs w:val="22"/>
        </w:rPr>
        <w:t>mars</w:t>
      </w:r>
      <w:r w:rsidR="00196809" w:rsidRPr="00196809">
        <w:rPr>
          <w:rFonts w:cs="Times New Roman"/>
          <w:sz w:val="22"/>
          <w:szCs w:val="22"/>
        </w:rPr>
        <w:t xml:space="preserve"> à </w:t>
      </w:r>
      <w:r w:rsidR="00BE332F">
        <w:rPr>
          <w:rFonts w:cs="Times New Roman"/>
          <w:sz w:val="22"/>
          <w:szCs w:val="22"/>
        </w:rPr>
        <w:t>juillet</w:t>
      </w:r>
      <w:r w:rsidR="00196809" w:rsidRPr="00196809">
        <w:rPr>
          <w:rFonts w:cs="Times New Roman"/>
          <w:sz w:val="22"/>
          <w:szCs w:val="22"/>
        </w:rPr>
        <w:t xml:space="preserve"> 2025, toujours en matière de fraude fiscale, elle a réalisé 1</w:t>
      </w:r>
      <w:r w:rsidR="00BE332F">
        <w:rPr>
          <w:rFonts w:cs="Times New Roman"/>
          <w:sz w:val="22"/>
          <w:szCs w:val="22"/>
        </w:rPr>
        <w:t>6</w:t>
      </w:r>
      <w:r w:rsidR="00196809" w:rsidRPr="00196809">
        <w:rPr>
          <w:rFonts w:cs="Times New Roman"/>
          <w:sz w:val="22"/>
          <w:szCs w:val="22"/>
        </w:rPr>
        <w:t xml:space="preserve"> diffusions au PPEF, </w:t>
      </w:r>
      <w:r w:rsidR="00BE332F">
        <w:rPr>
          <w:rFonts w:cs="Times New Roman"/>
          <w:sz w:val="22"/>
          <w:szCs w:val="22"/>
        </w:rPr>
        <w:t>45</w:t>
      </w:r>
      <w:r w:rsidR="00196809" w:rsidRPr="00196809">
        <w:rPr>
          <w:rFonts w:cs="Times New Roman"/>
          <w:sz w:val="22"/>
          <w:szCs w:val="22"/>
        </w:rPr>
        <w:t xml:space="preserve"> à la DGI et </w:t>
      </w:r>
      <w:r w:rsidR="00BE332F">
        <w:rPr>
          <w:rFonts w:cs="Times New Roman"/>
          <w:sz w:val="22"/>
          <w:szCs w:val="22"/>
        </w:rPr>
        <w:t>6</w:t>
      </w:r>
      <w:r w:rsidR="00196809" w:rsidRPr="00196809">
        <w:rPr>
          <w:rFonts w:cs="Times New Roman"/>
          <w:sz w:val="22"/>
          <w:szCs w:val="22"/>
        </w:rPr>
        <w:t xml:space="preserve"> à la DPEF. Sur la même période, elle a diffusé </w:t>
      </w:r>
      <w:r w:rsidR="00BE332F">
        <w:rPr>
          <w:rFonts w:cs="Times New Roman"/>
          <w:sz w:val="22"/>
          <w:szCs w:val="22"/>
        </w:rPr>
        <w:t>23</w:t>
      </w:r>
      <w:r w:rsidR="00196809" w:rsidRPr="00196809">
        <w:rPr>
          <w:rFonts w:cs="Times New Roman"/>
          <w:sz w:val="22"/>
          <w:szCs w:val="22"/>
        </w:rPr>
        <w:t xml:space="preserve"> informations en matière de fraude fiscale et douanière</w:t>
      </w:r>
      <w:r w:rsidR="00B377D6">
        <w:rPr>
          <w:rFonts w:cs="Times New Roman"/>
          <w:sz w:val="22"/>
          <w:szCs w:val="22"/>
        </w:rPr>
        <w:t xml:space="preserve"> à la DGD.</w:t>
      </w:r>
      <w:r w:rsidR="00BE332F">
        <w:rPr>
          <w:rFonts w:cs="Times New Roman"/>
          <w:sz w:val="22"/>
          <w:szCs w:val="22"/>
        </w:rPr>
        <w:t xml:space="preserve"> </w:t>
      </w:r>
    </w:p>
    <w:p w14:paraId="38B9264B" w14:textId="14EF10BC" w:rsidR="00196809" w:rsidRPr="00196809" w:rsidRDefault="00196809" w:rsidP="00DD206B">
      <w:pPr>
        <w:tabs>
          <w:tab w:val="left" w:pos="567"/>
        </w:tabs>
        <w:spacing w:before="240" w:after="120" w:line="360" w:lineRule="auto"/>
        <w:jc w:val="both"/>
        <w:rPr>
          <w:rFonts w:cs="Times New Roman"/>
          <w:sz w:val="22"/>
          <w:szCs w:val="22"/>
        </w:rPr>
      </w:pPr>
      <w:r w:rsidRPr="00196809">
        <w:rPr>
          <w:rFonts w:cs="Times New Roman"/>
          <w:sz w:val="22"/>
          <w:szCs w:val="22"/>
        </w:rPr>
        <w:lastRenderedPageBreak/>
        <w:t>Le PPEF, pour sa part, a traité 23 dossiers de fraude fiscale entre juin 2022 et mai 2024. Par la suite, de janvier 2024 à mars 2025, il a traité 13 affaires de blanchiment de capitaux et de fraude fiscale. Enfin, d’avril à juin 2025, un cas de fraude fiscale a fait l’objet de poursuite par le PPEF</w:t>
      </w:r>
      <w:r>
        <w:rPr>
          <w:rFonts w:cs="Times New Roman"/>
          <w:sz w:val="22"/>
          <w:szCs w:val="22"/>
        </w:rPr>
        <w:t>.</w:t>
      </w:r>
    </w:p>
    <w:p w14:paraId="36CFD0BB" w14:textId="4F310D1E" w:rsidR="009B74F0" w:rsidRPr="00196809" w:rsidRDefault="007372DB" w:rsidP="00DD206B">
      <w:pPr>
        <w:tabs>
          <w:tab w:val="left" w:pos="567"/>
        </w:tabs>
        <w:spacing w:before="240" w:after="120" w:line="360" w:lineRule="auto"/>
        <w:jc w:val="both"/>
        <w:rPr>
          <w:rFonts w:cs="Times New Roman"/>
          <w:sz w:val="22"/>
          <w:szCs w:val="22"/>
        </w:rPr>
      </w:pPr>
      <w:r w:rsidRPr="000E6CAC">
        <w:rPr>
          <w:rFonts w:cs="Times New Roman"/>
          <w:sz w:val="22"/>
          <w:szCs w:val="22"/>
        </w:rPr>
        <w:t xml:space="preserve">La fraude fiscale est </w:t>
      </w:r>
      <w:r w:rsidR="009B74F0" w:rsidRPr="00ED3446">
        <w:rPr>
          <w:rFonts w:cs="Times New Roman"/>
          <w:sz w:val="22"/>
          <w:szCs w:val="22"/>
        </w:rPr>
        <w:t>un problème systémique qui gangrène la fiscalité douanière</w:t>
      </w:r>
      <w:r w:rsidR="008155F9">
        <w:rPr>
          <w:rFonts w:cs="Times New Roman"/>
          <w:sz w:val="22"/>
          <w:szCs w:val="22"/>
        </w:rPr>
        <w:t>,</w:t>
      </w:r>
      <w:r w:rsidR="009B74F0" w:rsidRPr="00ED3446">
        <w:rPr>
          <w:rFonts w:cs="Times New Roman"/>
          <w:sz w:val="22"/>
          <w:szCs w:val="22"/>
        </w:rPr>
        <w:t xml:space="preserve"> </w:t>
      </w:r>
      <w:r w:rsidR="008155F9">
        <w:rPr>
          <w:rFonts w:cs="Times New Roman"/>
          <w:sz w:val="22"/>
          <w:szCs w:val="22"/>
        </w:rPr>
        <w:t>les</w:t>
      </w:r>
      <w:r w:rsidR="009B74F0" w:rsidRPr="00ED3446">
        <w:rPr>
          <w:rFonts w:cs="Times New Roman"/>
          <w:sz w:val="22"/>
          <w:szCs w:val="22"/>
        </w:rPr>
        <w:t xml:space="preserve"> impôts indirects, les exportations</w:t>
      </w:r>
      <w:r w:rsidR="008155F9">
        <w:rPr>
          <w:rFonts w:cs="Times New Roman"/>
          <w:sz w:val="22"/>
          <w:szCs w:val="22"/>
        </w:rPr>
        <w:t xml:space="preserve"> et </w:t>
      </w:r>
      <w:r w:rsidR="009B74F0" w:rsidRPr="00ED3446">
        <w:rPr>
          <w:rFonts w:cs="Times New Roman"/>
          <w:sz w:val="22"/>
          <w:szCs w:val="22"/>
        </w:rPr>
        <w:t>les transferts de capitaux</w:t>
      </w:r>
      <w:r w:rsidRPr="000E6CAC">
        <w:rPr>
          <w:rFonts w:cs="Times New Roman"/>
          <w:sz w:val="22"/>
          <w:szCs w:val="22"/>
        </w:rPr>
        <w:t>.</w:t>
      </w:r>
      <w:r w:rsidR="009B74F0" w:rsidRPr="00ED3446">
        <w:rPr>
          <w:rFonts w:cs="Times New Roman"/>
          <w:sz w:val="22"/>
          <w:szCs w:val="22"/>
        </w:rPr>
        <w:t xml:space="preserve"> </w:t>
      </w:r>
      <w:r w:rsidRPr="000E6CAC">
        <w:rPr>
          <w:rFonts w:cs="Times New Roman"/>
          <w:sz w:val="22"/>
          <w:szCs w:val="22"/>
        </w:rPr>
        <w:t xml:space="preserve">Cela est également facilité notamment par </w:t>
      </w:r>
      <w:r w:rsidR="009B74F0" w:rsidRPr="00ED3446">
        <w:rPr>
          <w:rFonts w:cs="Times New Roman"/>
          <w:sz w:val="22"/>
          <w:szCs w:val="22"/>
        </w:rPr>
        <w:t>cette habitude trop répandue de payer en espèces. Ces pratiques, parfois insidieusement intégrées dans le tissu économique et même culturel, sapent considérablement la capacité de l’État à générer des ressources internes et fragilisent la bonne gouvernance financière.</w:t>
      </w:r>
    </w:p>
    <w:p w14:paraId="062999A3" w14:textId="168F14ED" w:rsidR="00C34D6E" w:rsidRDefault="00196809" w:rsidP="00AF0706">
      <w:pPr>
        <w:tabs>
          <w:tab w:val="left" w:pos="567"/>
        </w:tabs>
        <w:spacing w:before="240" w:after="120" w:line="360" w:lineRule="auto"/>
        <w:jc w:val="both"/>
        <w:rPr>
          <w:rFonts w:cs="Times New Roman"/>
          <w:sz w:val="22"/>
          <w:szCs w:val="22"/>
        </w:rPr>
      </w:pPr>
      <w:r w:rsidRPr="000E6CAC">
        <w:rPr>
          <w:rFonts w:cs="Times New Roman"/>
          <w:sz w:val="22"/>
          <w:szCs w:val="22"/>
        </w:rPr>
        <w:t>Au regard de ce qui précède, le niveau de la menace lié</w:t>
      </w:r>
      <w:r w:rsidR="00AF60EC" w:rsidRPr="000E6CAC">
        <w:rPr>
          <w:rFonts w:cs="Times New Roman"/>
          <w:sz w:val="22"/>
          <w:szCs w:val="22"/>
        </w:rPr>
        <w:t>e</w:t>
      </w:r>
      <w:r w:rsidRPr="000E6CAC">
        <w:rPr>
          <w:rFonts w:cs="Times New Roman"/>
          <w:sz w:val="22"/>
          <w:szCs w:val="22"/>
        </w:rPr>
        <w:t xml:space="preserve"> à la fraude fiscale demeure </w:t>
      </w:r>
      <w:r w:rsidRPr="000E6CAC">
        <w:rPr>
          <w:rFonts w:cs="Times New Roman"/>
          <w:b/>
          <w:bCs/>
          <w:sz w:val="22"/>
          <w:szCs w:val="22"/>
        </w:rPr>
        <w:t>« élevé »</w:t>
      </w:r>
      <w:r w:rsidRPr="000E6CAC">
        <w:rPr>
          <w:rFonts w:cs="Times New Roman"/>
          <w:sz w:val="22"/>
          <w:szCs w:val="22"/>
        </w:rPr>
        <w:t>.</w:t>
      </w:r>
    </w:p>
    <w:tbl>
      <w:tblPr>
        <w:tblStyle w:val="Grilledutableau"/>
        <w:tblW w:w="9209" w:type="dxa"/>
        <w:shd w:val="clear" w:color="auto" w:fill="E8E8E8" w:themeFill="background2"/>
        <w:tblLook w:val="04A0" w:firstRow="1" w:lastRow="0" w:firstColumn="1" w:lastColumn="0" w:noHBand="0" w:noVBand="1"/>
      </w:tblPr>
      <w:tblGrid>
        <w:gridCol w:w="9209"/>
      </w:tblGrid>
      <w:tr w:rsidR="00C34D6E" w:rsidRPr="00A86A24" w14:paraId="4DD96D31" w14:textId="77777777" w:rsidTr="00AC5A9F">
        <w:tc>
          <w:tcPr>
            <w:tcW w:w="9209" w:type="dxa"/>
            <w:shd w:val="clear" w:color="auto" w:fill="E8E8E8" w:themeFill="background2"/>
          </w:tcPr>
          <w:p w14:paraId="584C34D5" w14:textId="3C26C573" w:rsidR="00C34D6E" w:rsidRPr="00A86A24" w:rsidRDefault="00C34D6E" w:rsidP="00DD206B">
            <w:pPr>
              <w:spacing w:line="360" w:lineRule="auto"/>
              <w:jc w:val="both"/>
              <w:rPr>
                <w:rFonts w:cs="Times New Roman"/>
                <w:b/>
                <w:bCs/>
                <w:sz w:val="22"/>
                <w:szCs w:val="22"/>
                <w:u w:val="single"/>
                <w:lang w:val="fr-CI"/>
              </w:rPr>
            </w:pPr>
            <w:r w:rsidRPr="00A86A24">
              <w:rPr>
                <w:rFonts w:cs="Times New Roman"/>
                <w:b/>
                <w:bCs/>
                <w:sz w:val="22"/>
                <w:szCs w:val="22"/>
                <w:u w:val="single"/>
                <w:lang w:val="fr-CI"/>
              </w:rPr>
              <w:t xml:space="preserve">Cas </w:t>
            </w:r>
            <w:r w:rsidR="00AA6921">
              <w:rPr>
                <w:rFonts w:cs="Times New Roman"/>
                <w:b/>
                <w:bCs/>
                <w:sz w:val="22"/>
                <w:szCs w:val="22"/>
                <w:u w:val="single"/>
                <w:lang w:val="fr-CI"/>
              </w:rPr>
              <w:t>4</w:t>
            </w:r>
            <w:r w:rsidRPr="00A86A24">
              <w:rPr>
                <w:rFonts w:cs="Times New Roman"/>
                <w:b/>
                <w:bCs/>
                <w:sz w:val="22"/>
                <w:szCs w:val="22"/>
                <w:u w:val="single"/>
                <w:lang w:val="fr-CI"/>
              </w:rPr>
              <w:t xml:space="preserve"> : blanchiment </w:t>
            </w:r>
            <w:r w:rsidR="00AA6921">
              <w:rPr>
                <w:rFonts w:cs="Times New Roman"/>
                <w:b/>
                <w:bCs/>
                <w:sz w:val="22"/>
                <w:szCs w:val="22"/>
                <w:u w:val="single"/>
                <w:lang w:val="fr-CI"/>
              </w:rPr>
              <w:t>et</w:t>
            </w:r>
            <w:r w:rsidRPr="00A86A24">
              <w:rPr>
                <w:rFonts w:cs="Times New Roman"/>
                <w:b/>
                <w:bCs/>
                <w:sz w:val="22"/>
                <w:szCs w:val="22"/>
                <w:u w:val="single"/>
                <w:lang w:val="fr-CI"/>
              </w:rPr>
              <w:t xml:space="preserve"> fraude fiscale</w:t>
            </w:r>
          </w:p>
          <w:p w14:paraId="7E93BC9F" w14:textId="77777777" w:rsidR="00C34D6E" w:rsidRPr="00A86A24" w:rsidRDefault="00C34D6E" w:rsidP="00DD206B">
            <w:pPr>
              <w:spacing w:line="360" w:lineRule="auto"/>
              <w:jc w:val="both"/>
              <w:rPr>
                <w:rFonts w:cs="Times New Roman"/>
                <w:sz w:val="22"/>
                <w:szCs w:val="22"/>
                <w:lang w:val="fr-CI"/>
              </w:rPr>
            </w:pPr>
            <w:r w:rsidRPr="00A86A24">
              <w:rPr>
                <w:rFonts w:cs="Times New Roman"/>
                <w:sz w:val="22"/>
                <w:szCs w:val="22"/>
                <w:lang w:val="fr-CI"/>
              </w:rPr>
              <w:t>M. DAK, gérant et associé unique de la société INDIA EXPORT SARL U, spécialisée dans l’import-export de diverses marchandises, a procédé à la constitution des statuts de la société par acte sous seing privé le 23/02/2021. Par la suite, il a effectué la déclaration fiscale d’existence au Régime des Micro-entreprises (RME) le 25/02/2021. En outre, il a ouvert un compte courant professionnel dans une institution financière locale. Ce compte fonctionnait exclusivement sous la signature de M. DAK.</w:t>
            </w:r>
          </w:p>
          <w:p w14:paraId="04B81986" w14:textId="77777777" w:rsidR="00C34D6E" w:rsidRPr="00A86A24" w:rsidRDefault="00C34D6E" w:rsidP="00DD206B">
            <w:pPr>
              <w:spacing w:line="360" w:lineRule="auto"/>
              <w:jc w:val="both"/>
              <w:rPr>
                <w:rFonts w:cs="Times New Roman"/>
                <w:sz w:val="22"/>
                <w:szCs w:val="22"/>
                <w:lang w:val="fr-CI"/>
              </w:rPr>
            </w:pPr>
            <w:r w:rsidRPr="00A86A24">
              <w:rPr>
                <w:rFonts w:cs="Times New Roman"/>
                <w:sz w:val="22"/>
                <w:szCs w:val="22"/>
                <w:lang w:val="fr-CI"/>
              </w:rPr>
              <w:t xml:space="preserve"> Les opérations sur ce compte ont enregistré une augmentation constante des versements en espèces et des virements provenant de « GENERAL TRADE », « EXTENTIAL » et « BERING ». Enfin, la société a transféré les montants encaissés vers plusieurs pays, dont SINGAPOUR, la CHINE, l’ALLEMAGNE, HONG KONG, le NIGERIA, l’AFRIQUE DU SUD, la SUISSE, la CORÉE DU SUD, DUBAÏ et l’ANGLETERRE. Cependant, la Douane ne dispose d’aucune information sur cette société. L’établissement de crédit, qui effectuait les transferts pour le compte d’INDIA EXPORT, a affirmé que le client était impliqué dans le commerce triangulaire et que la marchandise ne transitait pas par la Côte d’Ivoire. Seuls les flux financiers étaient réceptionnés dans le pays avant d’être transférés vers les fournisseurs résidant dans d’autres pays. Les documents commerciaux tels que les connaissements, les déclarations en douane, les bons de livraison et les factures, nécessaires pour justifier cette pratique conformément aux instructions de la OMEGA 2AO, n’ont pas pu être produits par les intervenants. Le 25/10/2023, la banque a envoyé un courrier pour régulariser les dossiers de transferts, mais le destinataire n’était pas connu à l’adresse indiquée. Entre le 01/08/2022 et le 31/01/2023, le compte a enregistré uniquement des agios et d’autres frais. Depuis lors, ce compte est inactif.</w:t>
            </w:r>
          </w:p>
          <w:p w14:paraId="25B7E39A" w14:textId="77777777" w:rsidR="00C34D6E" w:rsidRPr="00A86A24" w:rsidRDefault="00C34D6E" w:rsidP="00DD206B">
            <w:pPr>
              <w:spacing w:line="360" w:lineRule="auto"/>
              <w:jc w:val="both"/>
              <w:rPr>
                <w:rFonts w:cs="Times New Roman"/>
                <w:sz w:val="22"/>
                <w:szCs w:val="22"/>
                <w:lang w:val="fr-CI"/>
              </w:rPr>
            </w:pPr>
            <w:r w:rsidRPr="00A86A24">
              <w:rPr>
                <w:rFonts w:cs="Times New Roman"/>
                <w:sz w:val="22"/>
                <w:szCs w:val="22"/>
                <w:lang w:val="fr-CI"/>
              </w:rPr>
              <w:t>Le cumul des sommes transférées au bénéfice de ces différentes sociétés s’élevait à 131 485 296 612 FCFA (200 448 042 euros) au cours de la période du 10/03/2021 au 20/12/2023.</w:t>
            </w:r>
          </w:p>
          <w:p w14:paraId="1AA34E15" w14:textId="77777777" w:rsidR="00C34D6E" w:rsidRPr="00A86A24" w:rsidRDefault="00C34D6E" w:rsidP="00DD206B">
            <w:pPr>
              <w:spacing w:line="360" w:lineRule="auto"/>
              <w:jc w:val="both"/>
              <w:rPr>
                <w:rFonts w:cs="Times New Roman"/>
                <w:sz w:val="22"/>
                <w:szCs w:val="22"/>
                <w:lang w:val="fr-CI"/>
              </w:rPr>
            </w:pPr>
            <w:r w:rsidRPr="00A86A24">
              <w:rPr>
                <w:rFonts w:cs="Times New Roman"/>
                <w:sz w:val="22"/>
                <w:szCs w:val="22"/>
                <w:lang w:val="fr-CI"/>
              </w:rPr>
              <w:lastRenderedPageBreak/>
              <w:t xml:space="preserve">Un rapport d’enquête a été transmis aux autorités fiscales et judiciaires pour fraude fiscale et blanchiment de fraude fiscale. </w:t>
            </w:r>
          </w:p>
          <w:p w14:paraId="05F74BE2" w14:textId="77777777" w:rsidR="00C34D6E" w:rsidRPr="00A86A24" w:rsidRDefault="00C34D6E" w:rsidP="00DD206B">
            <w:pPr>
              <w:spacing w:line="360" w:lineRule="auto"/>
              <w:jc w:val="both"/>
              <w:rPr>
                <w:rFonts w:cs="Times New Roman"/>
                <w:sz w:val="22"/>
                <w:szCs w:val="22"/>
                <w:lang w:val="fr-CI"/>
              </w:rPr>
            </w:pPr>
            <w:r w:rsidRPr="00A86A24">
              <w:rPr>
                <w:rFonts w:cs="Times New Roman"/>
                <w:sz w:val="22"/>
                <w:szCs w:val="22"/>
                <w:lang w:val="fr-CI"/>
              </w:rPr>
              <w:t>Indicateurs et signaux d’alerte :</w:t>
            </w:r>
          </w:p>
          <w:p w14:paraId="7B26BED1" w14:textId="77777777" w:rsidR="00C34D6E" w:rsidRPr="00A86A24" w:rsidRDefault="00C34D6E" w:rsidP="00DD206B">
            <w:pPr>
              <w:spacing w:line="360" w:lineRule="auto"/>
              <w:jc w:val="both"/>
              <w:rPr>
                <w:rFonts w:cs="Times New Roman"/>
                <w:sz w:val="22"/>
                <w:szCs w:val="22"/>
                <w:lang w:val="fr-CI"/>
              </w:rPr>
            </w:pPr>
            <w:r w:rsidRPr="00A86A24">
              <w:rPr>
                <w:rFonts w:cs="Times New Roman"/>
                <w:sz w:val="22"/>
                <w:szCs w:val="22"/>
                <w:lang w:val="fr-CI"/>
              </w:rPr>
              <w:t>•</w:t>
            </w:r>
            <w:r w:rsidRPr="00A86A24">
              <w:rPr>
                <w:rFonts w:cs="Times New Roman"/>
                <w:sz w:val="22"/>
                <w:szCs w:val="22"/>
                <w:lang w:val="fr-CI"/>
              </w:rPr>
              <w:tab/>
              <w:t xml:space="preserve">Absence de justificatifs pour les transferts de devises </w:t>
            </w:r>
          </w:p>
          <w:p w14:paraId="18734E17" w14:textId="77777777" w:rsidR="00C34D6E" w:rsidRPr="00A86A24" w:rsidRDefault="00C34D6E" w:rsidP="00DD206B">
            <w:pPr>
              <w:spacing w:line="360" w:lineRule="auto"/>
              <w:jc w:val="both"/>
              <w:rPr>
                <w:rFonts w:cs="Times New Roman"/>
                <w:sz w:val="22"/>
                <w:szCs w:val="22"/>
                <w:lang w:val="fr-CI"/>
              </w:rPr>
            </w:pPr>
            <w:r w:rsidRPr="00A86A24">
              <w:rPr>
                <w:rFonts w:cs="Times New Roman"/>
                <w:sz w:val="22"/>
                <w:szCs w:val="22"/>
                <w:lang w:val="fr-CI"/>
              </w:rPr>
              <w:t>•</w:t>
            </w:r>
            <w:r w:rsidRPr="00A86A24">
              <w:rPr>
                <w:rFonts w:cs="Times New Roman"/>
                <w:sz w:val="22"/>
                <w:szCs w:val="22"/>
                <w:lang w:val="fr-CI"/>
              </w:rPr>
              <w:tab/>
              <w:t xml:space="preserve">Compte dormant depuis 01/08/2022 </w:t>
            </w:r>
          </w:p>
          <w:p w14:paraId="1A878D11" w14:textId="77777777" w:rsidR="00C34D6E" w:rsidRPr="00A86A24" w:rsidRDefault="00C34D6E" w:rsidP="00DD206B">
            <w:pPr>
              <w:spacing w:line="360" w:lineRule="auto"/>
              <w:jc w:val="both"/>
              <w:rPr>
                <w:rFonts w:cs="Times New Roman"/>
                <w:sz w:val="22"/>
                <w:szCs w:val="22"/>
                <w:lang w:val="fr-CI"/>
              </w:rPr>
            </w:pPr>
            <w:r w:rsidRPr="00A86A24">
              <w:rPr>
                <w:rFonts w:cs="Times New Roman"/>
                <w:sz w:val="22"/>
                <w:szCs w:val="22"/>
                <w:lang w:val="fr-CI"/>
              </w:rPr>
              <w:t>•</w:t>
            </w:r>
            <w:r w:rsidRPr="00A86A24">
              <w:rPr>
                <w:rFonts w:cs="Times New Roman"/>
                <w:sz w:val="22"/>
                <w:szCs w:val="22"/>
                <w:lang w:val="fr-CI"/>
              </w:rPr>
              <w:tab/>
              <w:t xml:space="preserve">Incohérences au niveau de la nature d’activité déclarée (transport routier urbain de personnes vs import/export de marchandises) </w:t>
            </w:r>
          </w:p>
          <w:p w14:paraId="5D3B8E4E" w14:textId="77777777" w:rsidR="00C34D6E" w:rsidRPr="00A86A24" w:rsidRDefault="00C34D6E" w:rsidP="00DD206B">
            <w:pPr>
              <w:spacing w:line="360" w:lineRule="auto"/>
              <w:jc w:val="both"/>
              <w:rPr>
                <w:rFonts w:cs="Times New Roman"/>
                <w:sz w:val="22"/>
                <w:szCs w:val="22"/>
                <w:lang w:val="fr-CI"/>
              </w:rPr>
            </w:pPr>
            <w:r w:rsidRPr="00A86A24">
              <w:rPr>
                <w:rFonts w:cs="Times New Roman"/>
                <w:sz w:val="22"/>
                <w:szCs w:val="22"/>
                <w:lang w:val="fr-CI"/>
              </w:rPr>
              <w:t>•</w:t>
            </w:r>
            <w:r w:rsidRPr="00A86A24">
              <w:rPr>
                <w:rFonts w:cs="Times New Roman"/>
                <w:sz w:val="22"/>
                <w:szCs w:val="22"/>
                <w:lang w:val="fr-CI"/>
              </w:rPr>
              <w:tab/>
              <w:t xml:space="preserve">Société non connue des Douanes ivoiriennes et des impôts </w:t>
            </w:r>
          </w:p>
          <w:p w14:paraId="50CF2AF7" w14:textId="77777777" w:rsidR="00C34D6E" w:rsidRPr="00A86A24" w:rsidRDefault="00C34D6E" w:rsidP="00DD206B">
            <w:pPr>
              <w:spacing w:line="360" w:lineRule="auto"/>
              <w:jc w:val="both"/>
              <w:rPr>
                <w:rFonts w:cs="Times New Roman"/>
                <w:sz w:val="22"/>
                <w:szCs w:val="22"/>
                <w:lang w:val="fr-CI"/>
              </w:rPr>
            </w:pPr>
            <w:r w:rsidRPr="00A86A24">
              <w:rPr>
                <w:rFonts w:cs="Times New Roman"/>
                <w:sz w:val="22"/>
                <w:szCs w:val="22"/>
                <w:lang w:val="fr-CI"/>
              </w:rPr>
              <w:t>•</w:t>
            </w:r>
            <w:r w:rsidRPr="00A86A24">
              <w:rPr>
                <w:rFonts w:cs="Times New Roman"/>
                <w:sz w:val="22"/>
                <w:szCs w:val="22"/>
                <w:lang w:val="fr-CI"/>
              </w:rPr>
              <w:tab/>
              <w:t xml:space="preserve">Transferts de fonds importants effectués pour le règlement d'importation de marchandises. </w:t>
            </w:r>
          </w:p>
          <w:p w14:paraId="36B01D66" w14:textId="77777777" w:rsidR="00C34D6E" w:rsidRPr="00A86A24" w:rsidRDefault="00C34D6E" w:rsidP="00DD206B">
            <w:pPr>
              <w:spacing w:line="360" w:lineRule="auto"/>
              <w:jc w:val="both"/>
              <w:rPr>
                <w:rFonts w:cs="Times New Roman"/>
                <w:sz w:val="22"/>
                <w:szCs w:val="22"/>
                <w:lang w:val="fr-CI"/>
              </w:rPr>
            </w:pPr>
            <w:r w:rsidRPr="00A86A24">
              <w:rPr>
                <w:rFonts w:cs="Times New Roman"/>
                <w:sz w:val="22"/>
                <w:szCs w:val="22"/>
                <w:lang w:val="fr-CI"/>
              </w:rPr>
              <w:t>•</w:t>
            </w:r>
            <w:r w:rsidRPr="00A86A24">
              <w:rPr>
                <w:rFonts w:cs="Times New Roman"/>
                <w:sz w:val="22"/>
                <w:szCs w:val="22"/>
                <w:lang w:val="fr-CI"/>
              </w:rPr>
              <w:tab/>
              <w:t xml:space="preserve">Présomption d'importation de marchandises en contrebande et de dissimulation de fonds pour échapper aux impôts. </w:t>
            </w:r>
          </w:p>
          <w:p w14:paraId="1D649977" w14:textId="77777777" w:rsidR="00C34D6E" w:rsidRPr="00A86A24" w:rsidRDefault="00C34D6E" w:rsidP="00DD206B">
            <w:pPr>
              <w:spacing w:line="360" w:lineRule="auto"/>
              <w:jc w:val="both"/>
              <w:rPr>
                <w:rFonts w:cs="Times New Roman"/>
                <w:sz w:val="22"/>
                <w:szCs w:val="22"/>
                <w:lang w:val="fr-CI"/>
              </w:rPr>
            </w:pPr>
            <w:r w:rsidRPr="00A86A24">
              <w:rPr>
                <w:rFonts w:cs="Times New Roman"/>
                <w:sz w:val="22"/>
                <w:szCs w:val="22"/>
                <w:lang w:val="fr-CI"/>
              </w:rPr>
              <w:t>•</w:t>
            </w:r>
            <w:r w:rsidRPr="00A86A24">
              <w:rPr>
                <w:rFonts w:cs="Times New Roman"/>
                <w:sz w:val="22"/>
                <w:szCs w:val="22"/>
                <w:lang w:val="fr-CI"/>
              </w:rPr>
              <w:tab/>
              <w:t xml:space="preserve">Schéma complexe de blanchiment de capitaux à travers des transferts internationaux et des opérations commerciales fictives </w:t>
            </w:r>
          </w:p>
          <w:p w14:paraId="376021AE" w14:textId="77777777" w:rsidR="00C34D6E" w:rsidRPr="00A86A24" w:rsidRDefault="00C34D6E" w:rsidP="00DD206B">
            <w:pPr>
              <w:spacing w:line="360" w:lineRule="auto"/>
              <w:jc w:val="both"/>
              <w:rPr>
                <w:rFonts w:cs="Times New Roman"/>
                <w:sz w:val="22"/>
                <w:szCs w:val="22"/>
                <w:lang w:val="fr-CI"/>
              </w:rPr>
            </w:pPr>
            <w:r w:rsidRPr="00A86A24">
              <w:rPr>
                <w:rFonts w:cs="Times New Roman"/>
                <w:sz w:val="22"/>
                <w:szCs w:val="22"/>
                <w:lang w:val="fr-CI"/>
              </w:rPr>
              <w:t>•</w:t>
            </w:r>
            <w:r w:rsidRPr="00A86A24">
              <w:rPr>
                <w:rFonts w:cs="Times New Roman"/>
                <w:sz w:val="22"/>
                <w:szCs w:val="22"/>
                <w:lang w:val="fr-CI"/>
              </w:rPr>
              <w:tab/>
              <w:t xml:space="preserve">Les sociétés ne sont plus aux adresses indiquées à l’ouverture des comptes. </w:t>
            </w:r>
          </w:p>
          <w:p w14:paraId="7DF8D391" w14:textId="77777777" w:rsidR="00C34D6E" w:rsidRPr="00A86A24" w:rsidRDefault="00C34D6E" w:rsidP="00DD206B">
            <w:pPr>
              <w:spacing w:line="360" w:lineRule="auto"/>
              <w:jc w:val="both"/>
              <w:rPr>
                <w:rFonts w:cs="Times New Roman"/>
                <w:sz w:val="22"/>
                <w:szCs w:val="22"/>
                <w:lang w:val="fr-CI"/>
              </w:rPr>
            </w:pPr>
            <w:r w:rsidRPr="00A86A24">
              <w:rPr>
                <w:rFonts w:cs="Times New Roman"/>
                <w:sz w:val="22"/>
                <w:szCs w:val="22"/>
                <w:lang w:val="fr-CI"/>
              </w:rPr>
              <w:t>•</w:t>
            </w:r>
            <w:r w:rsidRPr="00A86A24">
              <w:rPr>
                <w:rFonts w:cs="Times New Roman"/>
                <w:sz w:val="22"/>
                <w:szCs w:val="22"/>
                <w:lang w:val="fr-CI"/>
              </w:rPr>
              <w:tab/>
              <w:t>Abandon des comptes ouverts</w:t>
            </w:r>
          </w:p>
        </w:tc>
      </w:tr>
    </w:tbl>
    <w:p w14:paraId="6D9A2F98" w14:textId="77777777" w:rsidR="00C34D6E" w:rsidRPr="009F0687" w:rsidRDefault="00C34D6E" w:rsidP="00DD206B">
      <w:pPr>
        <w:tabs>
          <w:tab w:val="left" w:pos="567"/>
        </w:tabs>
        <w:spacing w:before="240" w:after="120" w:line="360" w:lineRule="auto"/>
        <w:jc w:val="both"/>
        <w:rPr>
          <w:rFonts w:cs="Times New Roman"/>
          <w:sz w:val="22"/>
          <w:szCs w:val="22"/>
        </w:rPr>
      </w:pPr>
    </w:p>
    <w:p w14:paraId="30077FAF" w14:textId="77777777" w:rsidR="00CF7B3C" w:rsidRPr="008F704B" w:rsidRDefault="00CF7B3C" w:rsidP="00DD206B">
      <w:pPr>
        <w:pStyle w:val="Titre4"/>
        <w:rPr>
          <w:sz w:val="22"/>
        </w:rPr>
      </w:pPr>
      <w:r w:rsidRPr="008F704B">
        <w:rPr>
          <w:sz w:val="22"/>
        </w:rPr>
        <w:tab/>
        <w:t>Evaluation de la menace liée aux infractions environnementales</w:t>
      </w:r>
    </w:p>
    <w:p w14:paraId="10727A7D" w14:textId="43F34DB6" w:rsidR="00196809" w:rsidRPr="00196809" w:rsidRDefault="00196809" w:rsidP="00AF0706">
      <w:pPr>
        <w:tabs>
          <w:tab w:val="left" w:pos="567"/>
        </w:tabs>
        <w:spacing w:before="240" w:after="120" w:line="360" w:lineRule="auto"/>
        <w:contextualSpacing/>
        <w:jc w:val="both"/>
        <w:rPr>
          <w:rFonts w:cs="Times New Roman"/>
          <w:sz w:val="22"/>
          <w:szCs w:val="22"/>
        </w:rPr>
      </w:pPr>
      <w:r w:rsidRPr="00196809">
        <w:rPr>
          <w:rFonts w:cs="Times New Roman"/>
          <w:sz w:val="22"/>
          <w:szCs w:val="22"/>
        </w:rPr>
        <w:t>La criminalité environnementale comprend, notamment, l’orpaillage illégal, l’exploitation de forêts protégées et le trafic de faune protégée. En 2019, l’évaluation des risques a révélé un niveau de menace « élevé » pour ces infractions (trafic d’espèces sauvages et orpaillage illégal).</w:t>
      </w:r>
      <w:r w:rsidR="00052CB2">
        <w:rPr>
          <w:rFonts w:cs="Times New Roman"/>
          <w:sz w:val="22"/>
          <w:szCs w:val="22"/>
        </w:rPr>
        <w:t xml:space="preserve"> En effet, ces infractions, surtout l’orpaillage illégale, qui était </w:t>
      </w:r>
      <w:r w:rsidR="00E4458C">
        <w:rPr>
          <w:rFonts w:cs="Times New Roman"/>
          <w:sz w:val="22"/>
          <w:szCs w:val="22"/>
        </w:rPr>
        <w:t>circonscrit dans des zones réputée</w:t>
      </w:r>
      <w:r w:rsidR="00A47278">
        <w:rPr>
          <w:rFonts w:cs="Times New Roman"/>
          <w:sz w:val="22"/>
          <w:szCs w:val="22"/>
        </w:rPr>
        <w:t xml:space="preserve">s </w:t>
      </w:r>
      <w:r w:rsidR="00E4458C">
        <w:rPr>
          <w:rFonts w:cs="Times New Roman"/>
          <w:sz w:val="22"/>
          <w:szCs w:val="22"/>
        </w:rPr>
        <w:t>aurifères, s’est déployé dans tout le pays. Ainsi, toutes les 31 régions de la Côte d’Ivoire sont touchées par ce phénomène entrainant la pollution des e</w:t>
      </w:r>
      <w:r w:rsidR="00A47278">
        <w:rPr>
          <w:rFonts w:cs="Times New Roman"/>
          <w:sz w:val="22"/>
          <w:szCs w:val="22"/>
        </w:rPr>
        <w:t>a</w:t>
      </w:r>
      <w:r w:rsidR="00E4458C">
        <w:rPr>
          <w:rFonts w:cs="Times New Roman"/>
          <w:sz w:val="22"/>
          <w:szCs w:val="22"/>
        </w:rPr>
        <w:t xml:space="preserve">ux et des terres, </w:t>
      </w:r>
      <w:r w:rsidR="0019182F">
        <w:rPr>
          <w:rFonts w:cs="Times New Roman"/>
          <w:sz w:val="22"/>
          <w:szCs w:val="22"/>
        </w:rPr>
        <w:t>le grand banditisme, la paupérisation des populations environnante, etc.</w:t>
      </w:r>
      <w:r w:rsidR="00E4458C">
        <w:rPr>
          <w:rFonts w:cs="Times New Roman"/>
          <w:sz w:val="22"/>
          <w:szCs w:val="22"/>
        </w:rPr>
        <w:t xml:space="preserve"> </w:t>
      </w:r>
      <w:r w:rsidR="00A47278">
        <w:rPr>
          <w:rFonts w:cs="Times New Roman"/>
          <w:sz w:val="22"/>
          <w:szCs w:val="22"/>
        </w:rPr>
        <w:t>L’ampleur de la menace se perçoit à travers le nombre et l’importance des dossiers traités par l</w:t>
      </w:r>
      <w:r w:rsidR="0019182F">
        <w:rPr>
          <w:rFonts w:cs="Times New Roman"/>
          <w:sz w:val="22"/>
          <w:szCs w:val="22"/>
        </w:rPr>
        <w:t>es autorités compétentes</w:t>
      </w:r>
      <w:r w:rsidR="00A47278">
        <w:rPr>
          <w:rFonts w:cs="Times New Roman"/>
          <w:sz w:val="22"/>
          <w:szCs w:val="22"/>
        </w:rPr>
        <w:t xml:space="preserve">. En effet, </w:t>
      </w:r>
      <w:r w:rsidR="00372BD7">
        <w:rPr>
          <w:rFonts w:cs="Times New Roman"/>
          <w:sz w:val="22"/>
          <w:szCs w:val="22"/>
        </w:rPr>
        <w:t>d</w:t>
      </w:r>
      <w:r w:rsidRPr="00196809">
        <w:rPr>
          <w:rFonts w:cs="Times New Roman"/>
          <w:sz w:val="22"/>
          <w:szCs w:val="22"/>
        </w:rPr>
        <w:t>e juin 2022 à mai 2024, le PPEF a traité 134 dossiers liés à la criminalité environnementale. Sur la période de janvier 2024 à mars 2025, 1179 personnes ont été poursuivies dans 321 affaires de blanchiment de capitaux et de crimes environnementaux. Puis</w:t>
      </w:r>
      <w:r w:rsidR="001907E3" w:rsidRPr="001907E3">
        <w:t xml:space="preserve"> </w:t>
      </w:r>
      <w:r w:rsidR="001907E3">
        <w:rPr>
          <w:rFonts w:cs="Times New Roman"/>
          <w:sz w:val="22"/>
          <w:szCs w:val="22"/>
        </w:rPr>
        <w:t>d</w:t>
      </w:r>
      <w:r w:rsidR="001907E3" w:rsidRPr="001907E3">
        <w:rPr>
          <w:rFonts w:cs="Times New Roman"/>
          <w:sz w:val="22"/>
          <w:szCs w:val="22"/>
        </w:rPr>
        <w:t xml:space="preserve">u 1er avril 2025 au 31 juillet 2025, soit en quatre mois, il a été ouvert 125 nouveaux dossiers de BC en lien </w:t>
      </w:r>
      <w:r w:rsidR="001907E3" w:rsidRPr="001907E3">
        <w:rPr>
          <w:rFonts w:cs="Times New Roman"/>
          <w:sz w:val="22"/>
          <w:szCs w:val="22"/>
        </w:rPr>
        <w:lastRenderedPageBreak/>
        <w:t>avec la criminalité environnementale, impliquant 510 personnes physiques et 8 personnes morales. Cela porte à 446 le nombre total de dossiers ouverts depuis janvier 2024.</w:t>
      </w:r>
      <w:r w:rsidR="001907E3">
        <w:rPr>
          <w:rFonts w:cs="Times New Roman"/>
          <w:sz w:val="22"/>
          <w:szCs w:val="22"/>
        </w:rPr>
        <w:br/>
      </w:r>
      <w:r w:rsidRPr="00196809">
        <w:rPr>
          <w:rFonts w:cs="Times New Roman"/>
          <w:sz w:val="22"/>
          <w:szCs w:val="22"/>
        </w:rPr>
        <w:t>La DGMG</w:t>
      </w:r>
      <w:r w:rsidR="00FA71E2">
        <w:rPr>
          <w:rFonts w:cs="Times New Roman"/>
          <w:sz w:val="22"/>
          <w:szCs w:val="22"/>
        </w:rPr>
        <w:t xml:space="preserve"> </w:t>
      </w:r>
      <w:r w:rsidRPr="00196809">
        <w:rPr>
          <w:rFonts w:cs="Times New Roman"/>
          <w:sz w:val="22"/>
          <w:szCs w:val="22"/>
        </w:rPr>
        <w:t>a, au cours de la même période, traité 480 dossiers dont 310 liés à la prospection, à la recherche, à l’exploitation ou à la commercialisation illégale de pierres et métaux précieux (notamment l’or).</w:t>
      </w:r>
    </w:p>
    <w:p w14:paraId="16BBB54A" w14:textId="27E3737C" w:rsidR="00196809" w:rsidRPr="00196809" w:rsidRDefault="00196809" w:rsidP="00DD206B">
      <w:pPr>
        <w:tabs>
          <w:tab w:val="left" w:pos="567"/>
        </w:tabs>
        <w:spacing w:before="240" w:after="120" w:line="360" w:lineRule="auto"/>
        <w:contextualSpacing/>
        <w:jc w:val="both"/>
        <w:rPr>
          <w:rFonts w:cs="Times New Roman"/>
          <w:sz w:val="22"/>
          <w:szCs w:val="22"/>
        </w:rPr>
      </w:pPr>
      <w:r w:rsidRPr="00196809">
        <w:rPr>
          <w:rFonts w:cs="Times New Roman"/>
          <w:sz w:val="22"/>
          <w:szCs w:val="22"/>
        </w:rPr>
        <w:t>Le Groupement Spécial de Lutte contre l’Orpaillage Illégal (GS-LOI) a, pour sa part, mené 2 303 opérations de déguerpissement dans 684 localités entre juin 2022 et mai 2024. Ces interventions ont permis la saisie de 16 279,39 grammes d’or, de 727 436 605 francs CFA en numéraire et ont donné lieu à 409 procès-verbaux, dont 82 ont été transmis au PPEF pour blanchiment de capitaux. À titre illustratif, le 23 février 2023, le GS-LOI a saisi à Yamoussoukro 6,982 kilogrammes d’or d’une valeur de 279 280 000 francs CFA. Le 4 mai 2023, à Bouaké, il a saisi la somme de 469 431 885 francs CFA lors de la perquisition d’un bureau d’achat illégal d’or.</w:t>
      </w:r>
    </w:p>
    <w:p w14:paraId="77C7EB89" w14:textId="60B7A6E4" w:rsidR="00196809" w:rsidRPr="00196809" w:rsidRDefault="00196809" w:rsidP="00DD206B">
      <w:pPr>
        <w:tabs>
          <w:tab w:val="left" w:pos="567"/>
        </w:tabs>
        <w:spacing w:before="240" w:after="120" w:line="360" w:lineRule="auto"/>
        <w:contextualSpacing/>
        <w:jc w:val="both"/>
        <w:rPr>
          <w:rFonts w:cs="Times New Roman"/>
          <w:sz w:val="22"/>
          <w:szCs w:val="22"/>
        </w:rPr>
      </w:pPr>
      <w:r w:rsidRPr="00196809">
        <w:rPr>
          <w:rFonts w:cs="Times New Roman"/>
          <w:sz w:val="22"/>
          <w:szCs w:val="22"/>
        </w:rPr>
        <w:t xml:space="preserve">S’agissant du trafic illicite des espèces sauvages, le ministère des Eaux et Forêts, en collaboration avec </w:t>
      </w:r>
      <w:r w:rsidR="00FA71E2">
        <w:rPr>
          <w:rFonts w:cs="Times New Roman"/>
          <w:sz w:val="22"/>
          <w:szCs w:val="22"/>
        </w:rPr>
        <w:t>l’</w:t>
      </w:r>
      <w:r w:rsidRPr="00196809">
        <w:rPr>
          <w:rFonts w:cs="Times New Roman"/>
          <w:sz w:val="22"/>
          <w:szCs w:val="22"/>
        </w:rPr>
        <w:t xml:space="preserve">UCT, a procédé, le 1er novembre 2023, à la saisie de 864 perroquets (316 </w:t>
      </w:r>
      <w:proofErr w:type="gramStart"/>
      <w:r w:rsidRPr="00196809">
        <w:rPr>
          <w:rFonts w:cs="Times New Roman"/>
          <w:sz w:val="22"/>
          <w:szCs w:val="22"/>
        </w:rPr>
        <w:t>youyou</w:t>
      </w:r>
      <w:proofErr w:type="gramEnd"/>
      <w:r w:rsidRPr="00196809">
        <w:rPr>
          <w:rFonts w:cs="Times New Roman"/>
          <w:sz w:val="22"/>
          <w:szCs w:val="22"/>
        </w:rPr>
        <w:t xml:space="preserve"> du Sénégal et 548 </w:t>
      </w:r>
      <w:proofErr w:type="spellStart"/>
      <w:r w:rsidRPr="00196809">
        <w:rPr>
          <w:rFonts w:cs="Times New Roman"/>
          <w:sz w:val="22"/>
          <w:szCs w:val="22"/>
        </w:rPr>
        <w:t>timneh</w:t>
      </w:r>
      <w:proofErr w:type="spellEnd"/>
      <w:r w:rsidRPr="00196809">
        <w:rPr>
          <w:rFonts w:cs="Times New Roman"/>
          <w:sz w:val="22"/>
          <w:szCs w:val="22"/>
        </w:rPr>
        <w:t>) à l’aéroport, pour une valeur totale de 584 160 000 francs CFA.</w:t>
      </w:r>
    </w:p>
    <w:p w14:paraId="65F29D77" w14:textId="008A5944" w:rsidR="00196809" w:rsidRPr="00196809" w:rsidRDefault="00196809" w:rsidP="00DD206B">
      <w:pPr>
        <w:tabs>
          <w:tab w:val="left" w:pos="567"/>
        </w:tabs>
        <w:spacing w:before="240" w:after="120" w:line="360" w:lineRule="auto"/>
        <w:contextualSpacing/>
        <w:jc w:val="both"/>
        <w:rPr>
          <w:rFonts w:cs="Times New Roman"/>
          <w:sz w:val="22"/>
          <w:szCs w:val="22"/>
        </w:rPr>
      </w:pPr>
      <w:r w:rsidRPr="00196809">
        <w:rPr>
          <w:rFonts w:cs="Times New Roman"/>
          <w:sz w:val="22"/>
          <w:szCs w:val="22"/>
        </w:rPr>
        <w:t xml:space="preserve">De septembre 2024 à février 2025, le CROAT et la SATT ont, de leur côté, adressé 60 réquisitions concernant la criminalité contre l’environnement aux </w:t>
      </w:r>
      <w:r w:rsidR="00FA71E2">
        <w:rPr>
          <w:rFonts w:cs="Times New Roman"/>
          <w:sz w:val="22"/>
          <w:szCs w:val="22"/>
        </w:rPr>
        <w:t>IF</w:t>
      </w:r>
      <w:r w:rsidRPr="00196809">
        <w:rPr>
          <w:rFonts w:cs="Times New Roman"/>
          <w:sz w:val="22"/>
          <w:szCs w:val="22"/>
        </w:rPr>
        <w:t>, à certaines EPNFD et à d’autres autorités compétentes.</w:t>
      </w:r>
    </w:p>
    <w:p w14:paraId="3297CEAD" w14:textId="7559277E" w:rsidR="00CF7B3C" w:rsidRDefault="00196809" w:rsidP="00DD206B">
      <w:pPr>
        <w:tabs>
          <w:tab w:val="left" w:pos="567"/>
        </w:tabs>
        <w:spacing w:before="240" w:after="120" w:line="360" w:lineRule="auto"/>
        <w:contextualSpacing/>
        <w:jc w:val="both"/>
        <w:rPr>
          <w:rFonts w:cs="Times New Roman"/>
          <w:sz w:val="22"/>
          <w:szCs w:val="22"/>
        </w:rPr>
      </w:pPr>
      <w:r w:rsidRPr="000E6CAC">
        <w:rPr>
          <w:rFonts w:cs="Times New Roman"/>
          <w:sz w:val="22"/>
          <w:szCs w:val="22"/>
        </w:rPr>
        <w:t xml:space="preserve">Au regard de ces différents éléments, l’on peut conclure que le niveau de la menace </w:t>
      </w:r>
      <w:r w:rsidR="00AF60EC" w:rsidRPr="000E6CAC">
        <w:rPr>
          <w:sz w:val="22"/>
        </w:rPr>
        <w:t>liée aux infractions environnementales</w:t>
      </w:r>
      <w:r w:rsidR="00AF60EC" w:rsidRPr="000E6CAC">
        <w:rPr>
          <w:rFonts w:cs="Times New Roman"/>
          <w:sz w:val="22"/>
          <w:szCs w:val="22"/>
        </w:rPr>
        <w:t xml:space="preserve"> est </w:t>
      </w:r>
      <w:r w:rsidRPr="000E6CAC">
        <w:rPr>
          <w:rFonts w:cs="Times New Roman"/>
          <w:b/>
          <w:bCs/>
          <w:sz w:val="22"/>
          <w:szCs w:val="22"/>
        </w:rPr>
        <w:t>« très élevé »</w:t>
      </w:r>
      <w:r w:rsidRPr="000E6CAC">
        <w:rPr>
          <w:rFonts w:cs="Times New Roman"/>
          <w:sz w:val="22"/>
          <w:szCs w:val="22"/>
        </w:rPr>
        <w:t>.</w:t>
      </w:r>
    </w:p>
    <w:p w14:paraId="01218120" w14:textId="77777777" w:rsidR="00C34D6E" w:rsidRDefault="00C34D6E" w:rsidP="00DD206B">
      <w:pPr>
        <w:tabs>
          <w:tab w:val="left" w:pos="567"/>
        </w:tabs>
        <w:spacing w:before="240" w:after="120" w:line="360" w:lineRule="auto"/>
        <w:contextualSpacing/>
        <w:jc w:val="both"/>
        <w:rPr>
          <w:rFonts w:cs="Times New Roman"/>
          <w:sz w:val="22"/>
          <w:szCs w:val="22"/>
        </w:rPr>
      </w:pPr>
    </w:p>
    <w:tbl>
      <w:tblPr>
        <w:tblStyle w:val="Grilledutableau"/>
        <w:tblW w:w="9209" w:type="dxa"/>
        <w:shd w:val="clear" w:color="auto" w:fill="E8E8E8" w:themeFill="background2"/>
        <w:tblLook w:val="04A0" w:firstRow="1" w:lastRow="0" w:firstColumn="1" w:lastColumn="0" w:noHBand="0" w:noVBand="1"/>
      </w:tblPr>
      <w:tblGrid>
        <w:gridCol w:w="9209"/>
      </w:tblGrid>
      <w:tr w:rsidR="00C34D6E" w:rsidRPr="00A86A24" w14:paraId="13AD25FF" w14:textId="77777777" w:rsidTr="00AC5A9F">
        <w:tc>
          <w:tcPr>
            <w:tcW w:w="9209" w:type="dxa"/>
            <w:shd w:val="clear" w:color="auto" w:fill="E8E8E8" w:themeFill="background2"/>
          </w:tcPr>
          <w:p w14:paraId="0DD9EE29" w14:textId="02C79E41" w:rsidR="00C34D6E" w:rsidRPr="00A86A24" w:rsidRDefault="00C34D6E" w:rsidP="00DD206B">
            <w:pPr>
              <w:spacing w:line="360" w:lineRule="auto"/>
              <w:jc w:val="both"/>
              <w:rPr>
                <w:rFonts w:cs="Times New Roman"/>
                <w:b/>
                <w:bCs/>
                <w:sz w:val="22"/>
                <w:szCs w:val="22"/>
                <w:u w:val="single"/>
                <w:lang w:val="fr-CI"/>
              </w:rPr>
            </w:pPr>
            <w:r w:rsidRPr="00A86A24">
              <w:rPr>
                <w:rFonts w:cs="Times New Roman"/>
                <w:b/>
                <w:bCs/>
                <w:sz w:val="22"/>
                <w:szCs w:val="22"/>
                <w:u w:val="single"/>
                <w:lang w:val="fr-CI"/>
              </w:rPr>
              <w:t xml:space="preserve">Cas </w:t>
            </w:r>
            <w:r w:rsidR="00AA6921">
              <w:rPr>
                <w:rFonts w:cs="Times New Roman"/>
                <w:b/>
                <w:bCs/>
                <w:sz w:val="22"/>
                <w:szCs w:val="22"/>
                <w:u w:val="single"/>
                <w:lang w:val="fr-CI"/>
              </w:rPr>
              <w:t>5</w:t>
            </w:r>
            <w:r w:rsidRPr="00A86A24">
              <w:rPr>
                <w:rFonts w:cs="Times New Roman"/>
                <w:b/>
                <w:bCs/>
                <w:sz w:val="22"/>
                <w:szCs w:val="22"/>
                <w:u w:val="single"/>
                <w:lang w:val="fr-CI"/>
              </w:rPr>
              <w:t xml:space="preserve"> : </w:t>
            </w:r>
            <w:r w:rsidR="00AA6921">
              <w:rPr>
                <w:rFonts w:cs="Times New Roman"/>
                <w:b/>
                <w:bCs/>
                <w:sz w:val="22"/>
                <w:szCs w:val="22"/>
                <w:u w:val="single"/>
              </w:rPr>
              <w:t xml:space="preserve">Crime </w:t>
            </w:r>
            <w:r w:rsidR="00B873A3" w:rsidRPr="00A86A24">
              <w:rPr>
                <w:rFonts w:cs="Times New Roman"/>
                <w:b/>
                <w:bCs/>
                <w:sz w:val="22"/>
                <w:szCs w:val="22"/>
                <w:u w:val="single"/>
              </w:rPr>
              <w:t>environnemental</w:t>
            </w:r>
          </w:p>
          <w:p w14:paraId="7C924D51" w14:textId="77777777" w:rsidR="00C34D6E" w:rsidRPr="00A86A24" w:rsidRDefault="00C34D6E" w:rsidP="00DD206B">
            <w:pPr>
              <w:spacing w:line="360" w:lineRule="auto"/>
              <w:jc w:val="both"/>
              <w:rPr>
                <w:rFonts w:cs="Times New Roman"/>
                <w:sz w:val="22"/>
                <w:szCs w:val="22"/>
                <w:lang w:val="fr-CI"/>
              </w:rPr>
            </w:pPr>
            <w:r w:rsidRPr="00A86A24">
              <w:rPr>
                <w:rFonts w:cs="Times New Roman"/>
                <w:sz w:val="22"/>
                <w:szCs w:val="22"/>
                <w:lang w:val="fr-CI"/>
              </w:rPr>
              <w:t>Dans le cadre de la lutte contre la criminalité économique et la prospection, la recherche, l'exploitation ou la commercialisation illicites de pierres et métaux précieux, le Groupement Spécial de Lutte contre l'orpaillage Illégal (GS-LOI) a mené une opération le jeudi 04/05/2023 à Bouaké au cours de laquelle X a été arrêté, la somme de 469.431.885 FCFA (716.077 euros) et du matériel d'orpaillage illégal ont été saisis, et des boutiques de vente de matériel d'orpaillage illégal et de téléphones portables ont été mises sous scellés. L'affaire a été transmise au PPEF et se poursuit.</w:t>
            </w:r>
          </w:p>
        </w:tc>
      </w:tr>
    </w:tbl>
    <w:p w14:paraId="698EAF12" w14:textId="77777777" w:rsidR="00C34D6E" w:rsidRDefault="00C34D6E" w:rsidP="00DD206B">
      <w:pPr>
        <w:tabs>
          <w:tab w:val="left" w:pos="567"/>
        </w:tabs>
        <w:spacing w:before="240" w:after="120" w:line="360" w:lineRule="auto"/>
        <w:contextualSpacing/>
        <w:jc w:val="both"/>
        <w:rPr>
          <w:rFonts w:cs="Times New Roman"/>
          <w:sz w:val="22"/>
          <w:szCs w:val="22"/>
        </w:rPr>
      </w:pPr>
    </w:p>
    <w:p w14:paraId="5FC85E70" w14:textId="561000DB" w:rsidR="00C85DBB" w:rsidRPr="00AA6921" w:rsidRDefault="00AA6921" w:rsidP="00AA6921">
      <w:pPr>
        <w:tabs>
          <w:tab w:val="left" w:pos="567"/>
        </w:tabs>
        <w:spacing w:before="240" w:after="120" w:line="360" w:lineRule="auto"/>
        <w:contextualSpacing/>
        <w:jc w:val="center"/>
        <w:rPr>
          <w:rFonts w:cs="Times New Roman"/>
          <w:b/>
          <w:bCs/>
          <w:i/>
          <w:iCs/>
          <w:sz w:val="22"/>
          <w:szCs w:val="22"/>
        </w:rPr>
      </w:pPr>
      <w:r>
        <w:rPr>
          <w:rFonts w:cs="Times New Roman"/>
          <w:b/>
          <w:bCs/>
          <w:i/>
          <w:iCs/>
          <w:sz w:val="22"/>
          <w:szCs w:val="22"/>
        </w:rPr>
        <w:t>(</w:t>
      </w:r>
      <w:r w:rsidRPr="00AA6921">
        <w:rPr>
          <w:rFonts w:cs="Times New Roman"/>
          <w:b/>
          <w:bCs/>
          <w:i/>
          <w:iCs/>
          <w:sz w:val="22"/>
          <w:szCs w:val="22"/>
        </w:rPr>
        <w:t>Les autres cas concrets concernant la menace intérieur</w:t>
      </w:r>
      <w:r w:rsidR="00E25042">
        <w:rPr>
          <w:rFonts w:cs="Times New Roman"/>
          <w:b/>
          <w:bCs/>
          <w:i/>
          <w:iCs/>
          <w:sz w:val="22"/>
          <w:szCs w:val="22"/>
        </w:rPr>
        <w:t>e</w:t>
      </w:r>
      <w:r w:rsidRPr="00AA6921">
        <w:rPr>
          <w:rFonts w:cs="Times New Roman"/>
          <w:b/>
          <w:bCs/>
          <w:i/>
          <w:iCs/>
          <w:sz w:val="22"/>
          <w:szCs w:val="22"/>
        </w:rPr>
        <w:t xml:space="preserve"> sont en annexe.</w:t>
      </w:r>
      <w:r>
        <w:rPr>
          <w:rFonts w:cs="Times New Roman"/>
          <w:b/>
          <w:bCs/>
          <w:i/>
          <w:iCs/>
          <w:sz w:val="22"/>
          <w:szCs w:val="22"/>
        </w:rPr>
        <w:t>)</w:t>
      </w:r>
    </w:p>
    <w:p w14:paraId="460CC62E" w14:textId="77777777" w:rsidR="00B873A3" w:rsidRDefault="00B873A3" w:rsidP="00DD206B">
      <w:pPr>
        <w:tabs>
          <w:tab w:val="left" w:pos="567"/>
        </w:tabs>
        <w:spacing w:before="240" w:after="120" w:line="360" w:lineRule="auto"/>
        <w:contextualSpacing/>
        <w:jc w:val="both"/>
        <w:rPr>
          <w:rFonts w:cs="Times New Roman"/>
          <w:sz w:val="22"/>
          <w:szCs w:val="22"/>
        </w:rPr>
      </w:pPr>
    </w:p>
    <w:p w14:paraId="5A75DE38" w14:textId="77777777" w:rsidR="00AF0706" w:rsidRDefault="00AF0706" w:rsidP="00DD206B">
      <w:pPr>
        <w:tabs>
          <w:tab w:val="left" w:pos="567"/>
        </w:tabs>
        <w:spacing w:before="240" w:after="120" w:line="360" w:lineRule="auto"/>
        <w:contextualSpacing/>
        <w:jc w:val="both"/>
        <w:rPr>
          <w:rFonts w:cs="Times New Roman"/>
          <w:sz w:val="22"/>
          <w:szCs w:val="22"/>
        </w:rPr>
      </w:pPr>
    </w:p>
    <w:p w14:paraId="4623143D" w14:textId="77777777" w:rsidR="00AF0706" w:rsidRDefault="00AF0706" w:rsidP="00DD206B">
      <w:pPr>
        <w:tabs>
          <w:tab w:val="left" w:pos="567"/>
        </w:tabs>
        <w:spacing w:before="240" w:after="120" w:line="360" w:lineRule="auto"/>
        <w:contextualSpacing/>
        <w:jc w:val="both"/>
        <w:rPr>
          <w:rFonts w:cs="Times New Roman"/>
          <w:sz w:val="22"/>
          <w:szCs w:val="22"/>
        </w:rPr>
      </w:pPr>
    </w:p>
    <w:p w14:paraId="186BD2EB" w14:textId="77777777" w:rsidR="00AF0706" w:rsidRDefault="00AF0706" w:rsidP="00DD206B">
      <w:pPr>
        <w:tabs>
          <w:tab w:val="left" w:pos="567"/>
        </w:tabs>
        <w:spacing w:before="240" w:after="120" w:line="360" w:lineRule="auto"/>
        <w:contextualSpacing/>
        <w:jc w:val="both"/>
        <w:rPr>
          <w:rFonts w:cs="Times New Roman"/>
          <w:sz w:val="22"/>
          <w:szCs w:val="22"/>
        </w:rPr>
      </w:pPr>
    </w:p>
    <w:p w14:paraId="0D08FA40" w14:textId="77777777" w:rsidR="00AF0706" w:rsidRDefault="00AF0706" w:rsidP="00DD206B">
      <w:pPr>
        <w:tabs>
          <w:tab w:val="left" w:pos="567"/>
        </w:tabs>
        <w:spacing w:before="240" w:after="120" w:line="360" w:lineRule="auto"/>
        <w:contextualSpacing/>
        <w:jc w:val="both"/>
        <w:rPr>
          <w:rFonts w:cs="Times New Roman"/>
          <w:sz w:val="22"/>
          <w:szCs w:val="22"/>
        </w:rPr>
      </w:pPr>
    </w:p>
    <w:p w14:paraId="228E6C3F" w14:textId="77777777" w:rsidR="00AF0706" w:rsidRDefault="00AF0706" w:rsidP="00DD206B">
      <w:pPr>
        <w:tabs>
          <w:tab w:val="left" w:pos="567"/>
        </w:tabs>
        <w:spacing w:before="240" w:after="120" w:line="360" w:lineRule="auto"/>
        <w:contextualSpacing/>
        <w:jc w:val="both"/>
        <w:rPr>
          <w:rFonts w:cs="Times New Roman"/>
          <w:sz w:val="22"/>
          <w:szCs w:val="22"/>
        </w:rPr>
      </w:pPr>
    </w:p>
    <w:p w14:paraId="19A1C3B7" w14:textId="77777777" w:rsidR="00AF0706" w:rsidRDefault="00AF0706" w:rsidP="00DD206B">
      <w:pPr>
        <w:tabs>
          <w:tab w:val="left" w:pos="567"/>
        </w:tabs>
        <w:spacing w:before="240" w:after="120" w:line="360" w:lineRule="auto"/>
        <w:contextualSpacing/>
        <w:jc w:val="both"/>
        <w:rPr>
          <w:rFonts w:cs="Times New Roman"/>
          <w:sz w:val="22"/>
          <w:szCs w:val="22"/>
        </w:rPr>
      </w:pPr>
    </w:p>
    <w:p w14:paraId="78F5D40D" w14:textId="77777777" w:rsidR="00AF0706" w:rsidRDefault="00AF0706" w:rsidP="00DD206B">
      <w:pPr>
        <w:tabs>
          <w:tab w:val="left" w:pos="567"/>
        </w:tabs>
        <w:spacing w:before="240" w:after="120" w:line="360" w:lineRule="auto"/>
        <w:contextualSpacing/>
        <w:jc w:val="both"/>
        <w:rPr>
          <w:rFonts w:cs="Times New Roman"/>
          <w:sz w:val="22"/>
          <w:szCs w:val="22"/>
        </w:rPr>
      </w:pPr>
    </w:p>
    <w:p w14:paraId="4F24462E" w14:textId="568F3069" w:rsidR="00C85DBB" w:rsidRPr="00B873A3" w:rsidRDefault="00143D0F" w:rsidP="00DD206B">
      <w:pPr>
        <w:tabs>
          <w:tab w:val="left" w:pos="567"/>
        </w:tabs>
        <w:spacing w:before="240" w:after="120" w:line="360" w:lineRule="auto"/>
        <w:contextualSpacing/>
        <w:jc w:val="both"/>
        <w:rPr>
          <w:rFonts w:cs="Times New Roman"/>
          <w:b/>
          <w:bCs/>
          <w:sz w:val="22"/>
          <w:szCs w:val="22"/>
          <w:u w:val="single"/>
        </w:rPr>
      </w:pPr>
      <w:r w:rsidRPr="00B873A3">
        <w:rPr>
          <w:rFonts w:cs="Times New Roman"/>
          <w:b/>
          <w:bCs/>
          <w:sz w:val="22"/>
          <w:szCs w:val="22"/>
          <w:u w:val="single"/>
        </w:rPr>
        <w:t>Niveau de la menace intérieure de BC selon les infractions sous-jacentes</w:t>
      </w:r>
    </w:p>
    <w:tbl>
      <w:tblPr>
        <w:tblStyle w:val="Grilledutableau"/>
        <w:tblW w:w="0" w:type="auto"/>
        <w:shd w:val="clear" w:color="auto" w:fill="E8E8E8" w:themeFill="background2"/>
        <w:tblLook w:val="04A0" w:firstRow="1" w:lastRow="0" w:firstColumn="1" w:lastColumn="0" w:noHBand="0" w:noVBand="1"/>
      </w:tblPr>
      <w:tblGrid>
        <w:gridCol w:w="9016"/>
      </w:tblGrid>
      <w:tr w:rsidR="00AF60EC" w14:paraId="1340657A" w14:textId="77777777" w:rsidTr="00AA6921">
        <w:tc>
          <w:tcPr>
            <w:tcW w:w="9062" w:type="dxa"/>
            <w:shd w:val="clear" w:color="auto" w:fill="C1E4F5" w:themeFill="accent1" w:themeFillTint="33"/>
          </w:tcPr>
          <w:p w14:paraId="4CDD74E2" w14:textId="77777777" w:rsidR="00AF60EC" w:rsidRPr="00143D0F" w:rsidRDefault="00AF60EC" w:rsidP="00DD206B">
            <w:pPr>
              <w:tabs>
                <w:tab w:val="left" w:pos="567"/>
              </w:tabs>
              <w:spacing w:before="240" w:after="120" w:line="360" w:lineRule="auto"/>
              <w:contextualSpacing/>
              <w:jc w:val="both"/>
              <w:rPr>
                <w:rFonts w:cs="Times New Roman"/>
                <w:sz w:val="22"/>
                <w:szCs w:val="22"/>
              </w:rPr>
            </w:pPr>
            <w:r w:rsidRPr="00143D0F">
              <w:rPr>
                <w:rFonts w:cs="Times New Roman"/>
                <w:sz w:val="22"/>
                <w:szCs w:val="22"/>
              </w:rPr>
              <w:t xml:space="preserve">Les niveaux de la menace intérieure liée aux principales infractions de blanchiment de capitaux se présentent comme suit : </w:t>
            </w:r>
          </w:p>
          <w:p w14:paraId="66D9D5CB" w14:textId="77777777" w:rsidR="00AF60EC" w:rsidRPr="000E6CAC" w:rsidRDefault="00AF60EC" w:rsidP="00DD206B">
            <w:pPr>
              <w:pStyle w:val="Paragraphedeliste"/>
              <w:numPr>
                <w:ilvl w:val="0"/>
                <w:numId w:val="14"/>
              </w:numPr>
              <w:tabs>
                <w:tab w:val="left" w:pos="567"/>
              </w:tabs>
              <w:spacing w:before="240" w:after="120" w:line="360" w:lineRule="auto"/>
              <w:jc w:val="both"/>
              <w:rPr>
                <w:rFonts w:cs="Times New Roman"/>
                <w:sz w:val="22"/>
                <w:szCs w:val="22"/>
              </w:rPr>
            </w:pPr>
            <w:proofErr w:type="gramStart"/>
            <w:r w:rsidRPr="000E6CAC">
              <w:rPr>
                <w:rFonts w:cs="Times New Roman"/>
                <w:b/>
                <w:bCs/>
                <w:sz w:val="22"/>
                <w:szCs w:val="22"/>
              </w:rPr>
              <w:t>très</w:t>
            </w:r>
            <w:proofErr w:type="gramEnd"/>
            <w:r w:rsidRPr="000E6CAC">
              <w:rPr>
                <w:rFonts w:cs="Times New Roman"/>
                <w:b/>
                <w:bCs/>
                <w:sz w:val="22"/>
                <w:szCs w:val="22"/>
              </w:rPr>
              <w:t xml:space="preserve"> élevé</w:t>
            </w:r>
            <w:r w:rsidRPr="000E6CAC">
              <w:rPr>
                <w:rFonts w:cs="Times New Roman"/>
                <w:sz w:val="22"/>
                <w:szCs w:val="22"/>
              </w:rPr>
              <w:t xml:space="preserve"> pour le trafic illicite de stupéfiants, la corruption et les infractions assimilées </w:t>
            </w:r>
          </w:p>
          <w:p w14:paraId="4DEBC8D4" w14:textId="77777777" w:rsidR="00AF60EC" w:rsidRPr="000E6CAC" w:rsidRDefault="00AF60EC" w:rsidP="00DD206B">
            <w:pPr>
              <w:tabs>
                <w:tab w:val="left" w:pos="567"/>
              </w:tabs>
              <w:spacing w:before="240" w:after="120" w:line="360" w:lineRule="auto"/>
              <w:contextualSpacing/>
              <w:jc w:val="both"/>
              <w:rPr>
                <w:rFonts w:cs="Times New Roman"/>
                <w:sz w:val="22"/>
                <w:szCs w:val="22"/>
              </w:rPr>
            </w:pPr>
            <w:r w:rsidRPr="000E6CAC">
              <w:rPr>
                <w:rFonts w:cs="Times New Roman"/>
                <w:sz w:val="22"/>
                <w:szCs w:val="22"/>
              </w:rPr>
              <w:t xml:space="preserve">, la cybercriminalité et les </w:t>
            </w:r>
            <w:r w:rsidRPr="00143D0F">
              <w:rPr>
                <w:rFonts w:cs="Times New Roman"/>
                <w:sz w:val="22"/>
                <w:szCs w:val="22"/>
              </w:rPr>
              <w:t>infractions environnementales</w:t>
            </w:r>
            <w:r w:rsidRPr="000E6CAC">
              <w:rPr>
                <w:rFonts w:cs="Times New Roman"/>
                <w:sz w:val="22"/>
                <w:szCs w:val="22"/>
              </w:rPr>
              <w:t xml:space="preserve"> ; </w:t>
            </w:r>
          </w:p>
          <w:p w14:paraId="69843F0F" w14:textId="77777777" w:rsidR="00AF60EC" w:rsidRPr="000E6CAC" w:rsidRDefault="00AF60EC" w:rsidP="00DD206B">
            <w:pPr>
              <w:pStyle w:val="Paragraphedeliste"/>
              <w:numPr>
                <w:ilvl w:val="0"/>
                <w:numId w:val="14"/>
              </w:numPr>
              <w:tabs>
                <w:tab w:val="left" w:pos="567"/>
              </w:tabs>
              <w:spacing w:before="240" w:after="120" w:line="360" w:lineRule="auto"/>
              <w:jc w:val="both"/>
              <w:rPr>
                <w:rFonts w:cs="Times New Roman"/>
                <w:sz w:val="22"/>
                <w:szCs w:val="22"/>
              </w:rPr>
            </w:pPr>
            <w:proofErr w:type="gramStart"/>
            <w:r w:rsidRPr="000E6CAC">
              <w:rPr>
                <w:rFonts w:cs="Times New Roman"/>
                <w:b/>
                <w:bCs/>
                <w:sz w:val="22"/>
                <w:szCs w:val="22"/>
              </w:rPr>
              <w:t>élevé</w:t>
            </w:r>
            <w:proofErr w:type="gramEnd"/>
            <w:r w:rsidRPr="000E6CAC">
              <w:rPr>
                <w:rFonts w:cs="Times New Roman"/>
                <w:sz w:val="22"/>
                <w:szCs w:val="22"/>
              </w:rPr>
              <w:t> s’agissant de la fraude fiscale ;</w:t>
            </w:r>
          </w:p>
          <w:p w14:paraId="2D3988C3" w14:textId="7A0F26D4" w:rsidR="00AF60EC" w:rsidRPr="00143D0F" w:rsidRDefault="00AF60EC" w:rsidP="00DD206B">
            <w:pPr>
              <w:tabs>
                <w:tab w:val="left" w:pos="567"/>
              </w:tabs>
              <w:spacing w:before="240" w:after="120" w:line="360" w:lineRule="auto"/>
              <w:contextualSpacing/>
              <w:jc w:val="both"/>
              <w:rPr>
                <w:b/>
                <w:bCs/>
                <w:sz w:val="24"/>
                <w:szCs w:val="24"/>
              </w:rPr>
            </w:pPr>
            <w:r w:rsidRPr="000E6CAC">
              <w:rPr>
                <w:rFonts w:cs="Times New Roman"/>
                <w:b/>
                <w:bCs/>
                <w:sz w:val="22"/>
                <w:szCs w:val="22"/>
              </w:rPr>
              <w:t>En somme, le niveau global de la menace intérieur de BC est « très élevé ».</w:t>
            </w:r>
          </w:p>
        </w:tc>
      </w:tr>
    </w:tbl>
    <w:p w14:paraId="0DB2FE1A" w14:textId="77777777" w:rsidR="00832B83" w:rsidRDefault="00832B83" w:rsidP="00DD206B">
      <w:pPr>
        <w:tabs>
          <w:tab w:val="left" w:pos="567"/>
        </w:tabs>
        <w:spacing w:before="240" w:after="120" w:line="360" w:lineRule="auto"/>
        <w:contextualSpacing/>
        <w:jc w:val="both"/>
        <w:rPr>
          <w:rFonts w:cs="Times New Roman"/>
          <w:sz w:val="22"/>
          <w:szCs w:val="22"/>
        </w:rPr>
        <w:sectPr w:rsidR="00832B83" w:rsidSect="004838E6">
          <w:headerReference w:type="default" r:id="rId12"/>
          <w:footerReference w:type="default" r:id="rId13"/>
          <w:headerReference w:type="first" r:id="rId14"/>
          <w:footerReference w:type="first" r:id="rId15"/>
          <w:type w:val="continuous"/>
          <w:pgSz w:w="11906" w:h="16838" w:code="9"/>
          <w:pgMar w:top="1440" w:right="1440" w:bottom="1134" w:left="1440" w:header="708" w:footer="708" w:gutter="0"/>
          <w:cols w:space="708"/>
          <w:docGrid w:linePitch="360"/>
        </w:sectPr>
      </w:pPr>
    </w:p>
    <w:p w14:paraId="3A71F9F5" w14:textId="4BC8391A" w:rsidR="002F7028" w:rsidRPr="008F704B" w:rsidRDefault="00EC6B1A" w:rsidP="00DD206B">
      <w:pPr>
        <w:pStyle w:val="Titre3"/>
        <w:rPr>
          <w:sz w:val="22"/>
        </w:rPr>
      </w:pPr>
      <w:bookmarkStart w:id="6" w:name="_Hlk211008030"/>
      <w:bookmarkStart w:id="7" w:name="_Toc213326899"/>
      <w:bookmarkEnd w:id="1"/>
      <w:r w:rsidRPr="008F704B">
        <w:rPr>
          <w:sz w:val="22"/>
        </w:rPr>
        <w:lastRenderedPageBreak/>
        <w:t>M</w:t>
      </w:r>
      <w:r w:rsidR="002F7028" w:rsidRPr="008F704B">
        <w:rPr>
          <w:sz w:val="22"/>
        </w:rPr>
        <w:t>enace extérieur</w:t>
      </w:r>
      <w:r w:rsidR="00F159AF" w:rsidRPr="008F704B">
        <w:rPr>
          <w:sz w:val="22"/>
        </w:rPr>
        <w:t>e</w:t>
      </w:r>
      <w:r w:rsidR="00FE032F">
        <w:rPr>
          <w:sz w:val="22"/>
        </w:rPr>
        <w:t xml:space="preserve"> (Transfrontalière)</w:t>
      </w:r>
      <w:bookmarkEnd w:id="7"/>
    </w:p>
    <w:bookmarkEnd w:id="6"/>
    <w:p w14:paraId="51EC5B5A" w14:textId="77777777" w:rsidR="00DC52D0" w:rsidRDefault="00DC52D0" w:rsidP="00DD206B">
      <w:pPr>
        <w:pStyle w:val="NormalWeb"/>
        <w:spacing w:line="360" w:lineRule="auto"/>
        <w:jc w:val="both"/>
        <w:rPr>
          <w:lang w:val="fr-FR"/>
        </w:rPr>
      </w:pPr>
      <w:r w:rsidRPr="00F23B14">
        <w:rPr>
          <w:lang w:val="fr-FR"/>
        </w:rPr>
        <w:t>Ces menaces se manifestent principalement à travers :</w:t>
      </w:r>
    </w:p>
    <w:p w14:paraId="0081F2B4" w14:textId="6CC8081C" w:rsidR="00FE032F" w:rsidRPr="00B5250C" w:rsidRDefault="00FE032F" w:rsidP="00DD206B">
      <w:pPr>
        <w:pStyle w:val="NormalWeb"/>
        <w:numPr>
          <w:ilvl w:val="0"/>
          <w:numId w:val="3"/>
        </w:numPr>
        <w:spacing w:line="360" w:lineRule="auto"/>
        <w:jc w:val="both"/>
        <w:rPr>
          <w:rFonts w:eastAsiaTheme="minorEastAsia"/>
          <w:sz w:val="22"/>
          <w:szCs w:val="22"/>
          <w:lang w:val="fr-FR" w:eastAsia="en-US"/>
        </w:rPr>
      </w:pPr>
      <w:r>
        <w:rPr>
          <w:rFonts w:eastAsiaTheme="minorEastAsia"/>
          <w:sz w:val="22"/>
          <w:szCs w:val="22"/>
          <w:lang w:val="fr-FR" w:eastAsia="en-US"/>
        </w:rPr>
        <w:t xml:space="preserve">La commission d’une infraction </w:t>
      </w:r>
      <w:r w:rsidRPr="00BA2B32">
        <w:rPr>
          <w:rFonts w:eastAsiaTheme="minorEastAsia"/>
          <w:sz w:val="22"/>
          <w:szCs w:val="22"/>
          <w:lang w:val="fr-FR" w:eastAsia="en-US"/>
        </w:rPr>
        <w:t>en Côte d’Ivoire par des criminels résidant à l’étranger ou dans un autre pays par des criminels ayant trouvé refuge sur le territoire ivoirien</w:t>
      </w:r>
      <w:r w:rsidRPr="00B5250C">
        <w:rPr>
          <w:rFonts w:eastAsiaTheme="minorEastAsia"/>
          <w:sz w:val="22"/>
          <w:szCs w:val="22"/>
          <w:lang w:val="fr-FR" w:eastAsia="en-US"/>
        </w:rPr>
        <w:t> ;</w:t>
      </w:r>
    </w:p>
    <w:p w14:paraId="4E452EC6" w14:textId="59739635" w:rsidR="00FE032F" w:rsidRPr="000E6CAC" w:rsidRDefault="00FE032F" w:rsidP="00DD206B">
      <w:pPr>
        <w:pStyle w:val="NormalWeb"/>
        <w:numPr>
          <w:ilvl w:val="0"/>
          <w:numId w:val="3"/>
        </w:numPr>
        <w:spacing w:line="360" w:lineRule="auto"/>
        <w:jc w:val="both"/>
        <w:rPr>
          <w:rFonts w:eastAsiaTheme="minorEastAsia"/>
          <w:sz w:val="22"/>
          <w:szCs w:val="22"/>
          <w:lang w:val="fr-FR" w:eastAsia="en-US"/>
        </w:rPr>
      </w:pPr>
      <w:r>
        <w:rPr>
          <w:rFonts w:eastAsiaTheme="minorEastAsia"/>
          <w:sz w:val="22"/>
          <w:szCs w:val="22"/>
          <w:lang w:val="fr-FR" w:eastAsia="en-US"/>
        </w:rPr>
        <w:t xml:space="preserve">La commission d’une infraction sur le territoire ivoirien, le blanchiment des fruits de l’infraction dans un autre pays ou </w:t>
      </w:r>
      <w:r w:rsidRPr="00B5250C">
        <w:rPr>
          <w:rFonts w:eastAsiaTheme="minorEastAsia"/>
          <w:sz w:val="22"/>
          <w:szCs w:val="22"/>
          <w:lang w:val="fr-FR" w:eastAsia="en-US"/>
        </w:rPr>
        <w:t>lorsque les produits du crime commis dans un autre pays</w:t>
      </w:r>
      <w:r>
        <w:rPr>
          <w:rFonts w:eastAsiaTheme="minorEastAsia"/>
          <w:sz w:val="22"/>
          <w:szCs w:val="22"/>
          <w:lang w:val="fr-FR" w:eastAsia="en-US"/>
        </w:rPr>
        <w:t>,</w:t>
      </w:r>
      <w:r w:rsidRPr="00B5250C">
        <w:rPr>
          <w:rFonts w:eastAsiaTheme="minorEastAsia"/>
          <w:sz w:val="22"/>
          <w:szCs w:val="22"/>
          <w:lang w:val="fr-FR" w:eastAsia="en-US"/>
        </w:rPr>
        <w:t xml:space="preserve"> sont blanchis sur le territoire </w:t>
      </w:r>
      <w:r>
        <w:rPr>
          <w:rFonts w:eastAsiaTheme="minorEastAsia"/>
          <w:sz w:val="22"/>
          <w:szCs w:val="22"/>
          <w:lang w:val="fr-FR" w:eastAsia="en-US"/>
        </w:rPr>
        <w:t>i</w:t>
      </w:r>
      <w:r w:rsidRPr="00B5250C">
        <w:rPr>
          <w:rFonts w:eastAsiaTheme="minorEastAsia"/>
          <w:sz w:val="22"/>
          <w:szCs w:val="22"/>
          <w:lang w:val="fr-FR" w:eastAsia="en-US"/>
        </w:rPr>
        <w:t>voirien.</w:t>
      </w:r>
    </w:p>
    <w:p w14:paraId="7E226138" w14:textId="77777777" w:rsidR="00DC52D0" w:rsidRPr="00F23B14" w:rsidRDefault="00DC52D0" w:rsidP="00DD206B">
      <w:pPr>
        <w:pStyle w:val="NormalWeb"/>
        <w:spacing w:line="360" w:lineRule="auto"/>
        <w:jc w:val="both"/>
        <w:rPr>
          <w:lang w:val="fr-FR"/>
        </w:rPr>
      </w:pPr>
      <w:r w:rsidRPr="00F23B14">
        <w:rPr>
          <w:lang w:val="fr-FR"/>
        </w:rPr>
        <w:t>Elles donnent fréquemment lieu à des requêtes formelles ou informelles émanant d’autres États et sont traitées dans le cadre de la coopération nationale et internationale.</w:t>
      </w:r>
    </w:p>
    <w:p w14:paraId="07F8AE10" w14:textId="01516E08" w:rsidR="00DC52D0" w:rsidRPr="00F23B14" w:rsidRDefault="00DC52D0" w:rsidP="00DD206B">
      <w:pPr>
        <w:pStyle w:val="NormalWeb"/>
        <w:spacing w:line="360" w:lineRule="auto"/>
        <w:jc w:val="both"/>
        <w:rPr>
          <w:lang w:val="fr-FR"/>
        </w:rPr>
      </w:pPr>
      <w:r w:rsidRPr="00F23B14">
        <w:rPr>
          <w:lang w:val="fr-FR"/>
        </w:rPr>
        <w:t xml:space="preserve">Depuis l’ENR de 2019, de nouvelles infractions </w:t>
      </w:r>
      <w:r w:rsidR="00B50944">
        <w:rPr>
          <w:lang w:val="fr-FR"/>
        </w:rPr>
        <w:t xml:space="preserve">se </w:t>
      </w:r>
      <w:r w:rsidRPr="00F23B14">
        <w:rPr>
          <w:lang w:val="fr-FR"/>
        </w:rPr>
        <w:t xml:space="preserve">sont </w:t>
      </w:r>
      <w:r w:rsidR="00B50944">
        <w:rPr>
          <w:lang w:val="fr-FR"/>
        </w:rPr>
        <w:t>ajoutées</w:t>
      </w:r>
      <w:r w:rsidRPr="00F23B14">
        <w:rPr>
          <w:lang w:val="fr-FR"/>
        </w:rPr>
        <w:t xml:space="preserve"> à celles déjà identifiées, notamment : le trafic illicite de stupéfiants, le faux et usage de faux</w:t>
      </w:r>
      <w:r>
        <w:rPr>
          <w:lang w:val="fr-FR"/>
        </w:rPr>
        <w:t xml:space="preserve"> </w:t>
      </w:r>
      <w:r w:rsidRPr="00F23B14">
        <w:rPr>
          <w:lang w:val="fr-FR"/>
        </w:rPr>
        <w:t>et la fraude fiscale.</w:t>
      </w:r>
    </w:p>
    <w:p w14:paraId="6A3A5415" w14:textId="07620F37" w:rsidR="00DC52D0" w:rsidRPr="00F23B14" w:rsidRDefault="00DC52D0" w:rsidP="00DD206B">
      <w:pPr>
        <w:pStyle w:val="NormalWeb"/>
        <w:spacing w:line="360" w:lineRule="auto"/>
        <w:jc w:val="both"/>
        <w:rPr>
          <w:lang w:val="fr-FR"/>
        </w:rPr>
      </w:pPr>
      <w:r w:rsidRPr="00F23B14">
        <w:rPr>
          <w:lang w:val="fr-FR"/>
        </w:rPr>
        <w:t>L’évaluation de la menace extérieure en matière de</w:t>
      </w:r>
      <w:r w:rsidR="00FE032F">
        <w:rPr>
          <w:lang w:val="fr-FR"/>
        </w:rPr>
        <w:t xml:space="preserve"> BC</w:t>
      </w:r>
      <w:r w:rsidR="00B50944">
        <w:rPr>
          <w:lang w:val="fr-FR"/>
        </w:rPr>
        <w:t>, en plus de ce qui a été présenté dans la méthodologie ci-haut,</w:t>
      </w:r>
      <w:r w:rsidRPr="00F23B14">
        <w:rPr>
          <w:lang w:val="fr-FR"/>
        </w:rPr>
        <w:t xml:space="preserve"> repose sur l’analyse des catégories d’infractions sous-jacentes les plus représentées dans :</w:t>
      </w:r>
    </w:p>
    <w:p w14:paraId="5AB89347" w14:textId="0847B98E" w:rsidR="00DC52D0" w:rsidRDefault="00DC52D0" w:rsidP="00DD206B">
      <w:pPr>
        <w:pStyle w:val="NormalWeb"/>
        <w:numPr>
          <w:ilvl w:val="0"/>
          <w:numId w:val="4"/>
        </w:numPr>
        <w:spacing w:line="360" w:lineRule="auto"/>
        <w:jc w:val="both"/>
      </w:pPr>
      <w:r>
        <w:t xml:space="preserve">les </w:t>
      </w:r>
      <w:r w:rsidRPr="00AF0706">
        <w:rPr>
          <w:lang w:val="fr-FR"/>
        </w:rPr>
        <w:t>demandes d’entraide judiciaire</w:t>
      </w:r>
      <w:r w:rsidR="00B50944">
        <w:t>;</w:t>
      </w:r>
    </w:p>
    <w:p w14:paraId="75F6E8FA" w14:textId="42A639CD" w:rsidR="00DC52D0" w:rsidRDefault="00DC52D0" w:rsidP="00DD206B">
      <w:pPr>
        <w:pStyle w:val="NormalWeb"/>
        <w:numPr>
          <w:ilvl w:val="0"/>
          <w:numId w:val="4"/>
        </w:numPr>
        <w:spacing w:line="360" w:lineRule="auto"/>
        <w:jc w:val="both"/>
      </w:pPr>
      <w:r>
        <w:t xml:space="preserve">les </w:t>
      </w:r>
      <w:r w:rsidRPr="00AF0706">
        <w:rPr>
          <w:lang w:val="fr-FR"/>
        </w:rPr>
        <w:t>demandes</w:t>
      </w:r>
      <w:r>
        <w:t xml:space="preserve"> </w:t>
      </w:r>
      <w:r w:rsidRPr="00AF0706">
        <w:rPr>
          <w:lang w:val="fr-FR"/>
        </w:rPr>
        <w:t>d’information</w:t>
      </w:r>
      <w:r w:rsidR="00B50944">
        <w:t>;</w:t>
      </w:r>
    </w:p>
    <w:p w14:paraId="1C54A506" w14:textId="77777777" w:rsidR="00DC52D0" w:rsidRPr="00F23B14" w:rsidRDefault="00DC52D0" w:rsidP="00DD206B">
      <w:pPr>
        <w:pStyle w:val="NormalWeb"/>
        <w:numPr>
          <w:ilvl w:val="0"/>
          <w:numId w:val="4"/>
        </w:numPr>
        <w:spacing w:line="360" w:lineRule="auto"/>
        <w:jc w:val="both"/>
        <w:rPr>
          <w:lang w:val="fr-FR"/>
        </w:rPr>
      </w:pPr>
      <w:proofErr w:type="gramStart"/>
      <w:r w:rsidRPr="00F23B14">
        <w:rPr>
          <w:lang w:val="fr-FR"/>
        </w:rPr>
        <w:t>et</w:t>
      </w:r>
      <w:proofErr w:type="gramEnd"/>
      <w:r w:rsidRPr="00F23B14">
        <w:rPr>
          <w:lang w:val="fr-FR"/>
        </w:rPr>
        <w:t xml:space="preserve"> les rapports de dissémination.</w:t>
      </w:r>
    </w:p>
    <w:p w14:paraId="764BA7BA" w14:textId="532D1CCF" w:rsidR="00DC52D0" w:rsidRPr="00F23B14" w:rsidRDefault="00DC52D0" w:rsidP="00DD206B">
      <w:pPr>
        <w:pStyle w:val="NormalWeb"/>
        <w:spacing w:line="360" w:lineRule="auto"/>
        <w:jc w:val="both"/>
        <w:rPr>
          <w:lang w:val="fr-FR"/>
        </w:rPr>
      </w:pPr>
      <w:r w:rsidRPr="00F23B14">
        <w:rPr>
          <w:lang w:val="fr-FR"/>
        </w:rPr>
        <w:t xml:space="preserve">Sur la période </w:t>
      </w:r>
      <w:r w:rsidR="00E03D7A" w:rsidRPr="000E6CAC">
        <w:rPr>
          <w:color w:val="000000" w:themeColor="text1"/>
          <w:lang w:val="fr-FR"/>
        </w:rPr>
        <w:t xml:space="preserve">du 1er avril au 31 juillet 2025, 72 nouveaux dossiers de BC en lien avec la criminalité transfrontalière ont été ouverts, impliquant 194 personnes physiques et 09 personnes morales. Cela porte à 185 le nombre total de dossiers ouverts depuis janvier 2024. </w:t>
      </w:r>
      <w:r w:rsidRPr="00F23B14">
        <w:rPr>
          <w:lang w:val="fr-FR"/>
        </w:rPr>
        <w:t xml:space="preserve">Outre le trafic international de drogues et la cybercriminalité, </w:t>
      </w:r>
      <w:r w:rsidR="00EE1817">
        <w:rPr>
          <w:lang w:val="fr-FR"/>
        </w:rPr>
        <w:t>l’</w:t>
      </w:r>
      <w:r w:rsidRPr="00F23B14">
        <w:rPr>
          <w:lang w:val="fr-FR"/>
        </w:rPr>
        <w:t>on observe une recrudescence des vols de véhicules de luxe en provenance d’Europe et d’Amérique.</w:t>
      </w:r>
    </w:p>
    <w:p w14:paraId="4F6E6E86" w14:textId="070AFEAA" w:rsidR="00DC52D0" w:rsidRPr="00F23B14" w:rsidRDefault="00DC52D0" w:rsidP="00DD206B">
      <w:pPr>
        <w:pStyle w:val="NormalWeb"/>
        <w:spacing w:line="360" w:lineRule="auto"/>
        <w:jc w:val="both"/>
        <w:rPr>
          <w:b/>
          <w:lang w:val="fr-FR"/>
        </w:rPr>
      </w:pPr>
      <w:r>
        <w:rPr>
          <w:rStyle w:val="lev"/>
          <w:rFonts w:eastAsiaTheme="minorEastAsia"/>
          <w:b w:val="0"/>
          <w:bCs w:val="0"/>
          <w:lang w:val="fr-FR"/>
        </w:rPr>
        <w:t>Ainsi, l</w:t>
      </w:r>
      <w:r w:rsidRPr="00F23B14">
        <w:rPr>
          <w:rStyle w:val="lev"/>
          <w:rFonts w:eastAsiaTheme="minorEastAsia"/>
          <w:b w:val="0"/>
          <w:bCs w:val="0"/>
          <w:lang w:val="fr-FR"/>
        </w:rPr>
        <w:t xml:space="preserve">es </w:t>
      </w:r>
      <w:r>
        <w:rPr>
          <w:rStyle w:val="lev"/>
          <w:rFonts w:eastAsiaTheme="minorEastAsia"/>
          <w:b w:val="0"/>
          <w:bCs w:val="0"/>
          <w:lang w:val="fr-FR"/>
        </w:rPr>
        <w:t>i</w:t>
      </w:r>
      <w:r w:rsidRPr="00F23B14">
        <w:rPr>
          <w:rStyle w:val="lev"/>
          <w:rFonts w:eastAsiaTheme="minorEastAsia"/>
          <w:b w:val="0"/>
          <w:bCs w:val="0"/>
          <w:lang w:val="fr-FR"/>
        </w:rPr>
        <w:t xml:space="preserve">nfractions sous-jacentes </w:t>
      </w:r>
      <w:r w:rsidR="004F0FF9">
        <w:rPr>
          <w:rStyle w:val="lev"/>
          <w:rFonts w:eastAsiaTheme="minorEastAsia"/>
          <w:b w:val="0"/>
          <w:bCs w:val="0"/>
          <w:lang w:val="fr-FR"/>
        </w:rPr>
        <w:t>qui feront l’objet d</w:t>
      </w:r>
      <w:r w:rsidRPr="00F23B14">
        <w:rPr>
          <w:rStyle w:val="lev"/>
          <w:rFonts w:eastAsiaTheme="minorEastAsia"/>
          <w:b w:val="0"/>
          <w:bCs w:val="0"/>
          <w:lang w:val="fr-FR"/>
        </w:rPr>
        <w:t xml:space="preserve">’analyse </w:t>
      </w:r>
      <w:r>
        <w:rPr>
          <w:rStyle w:val="lev"/>
          <w:rFonts w:eastAsiaTheme="minorEastAsia"/>
          <w:b w:val="0"/>
          <w:bCs w:val="0"/>
          <w:lang w:val="fr-FR"/>
        </w:rPr>
        <w:t>sont</w:t>
      </w:r>
      <w:r w:rsidRPr="00F23B14">
        <w:rPr>
          <w:bCs/>
          <w:lang w:val="fr-FR"/>
        </w:rPr>
        <w:t xml:space="preserve"> :</w:t>
      </w:r>
    </w:p>
    <w:p w14:paraId="5A92F082" w14:textId="62A20D0B" w:rsidR="00DC52D0" w:rsidRPr="00F23B14" w:rsidRDefault="00DC52D0" w:rsidP="00DD206B">
      <w:pPr>
        <w:pStyle w:val="NormalWeb"/>
        <w:numPr>
          <w:ilvl w:val="0"/>
          <w:numId w:val="5"/>
        </w:numPr>
        <w:spacing w:line="360" w:lineRule="auto"/>
        <w:jc w:val="both"/>
        <w:rPr>
          <w:lang w:val="fr-FR"/>
        </w:rPr>
      </w:pPr>
      <w:r w:rsidRPr="00F23B14">
        <w:rPr>
          <w:lang w:val="fr-FR"/>
        </w:rPr>
        <w:t>Le trafic illicite de stupéfiants</w:t>
      </w:r>
      <w:r w:rsidR="00D979F9">
        <w:rPr>
          <w:lang w:val="fr-FR"/>
        </w:rPr>
        <w:t> ;</w:t>
      </w:r>
    </w:p>
    <w:p w14:paraId="52217F4C" w14:textId="09105882" w:rsidR="00DC52D0" w:rsidRDefault="00DC52D0" w:rsidP="00DD206B">
      <w:pPr>
        <w:pStyle w:val="NormalWeb"/>
        <w:numPr>
          <w:ilvl w:val="0"/>
          <w:numId w:val="5"/>
        </w:numPr>
        <w:spacing w:line="360" w:lineRule="auto"/>
        <w:jc w:val="both"/>
      </w:pPr>
      <w:r>
        <w:t xml:space="preserve">La </w:t>
      </w:r>
      <w:r w:rsidR="00AF0706" w:rsidRPr="00AF0706">
        <w:rPr>
          <w:lang w:val="fr-FR"/>
        </w:rPr>
        <w:t>cybercriminalité</w:t>
      </w:r>
      <w:r w:rsidR="00AF0706">
        <w:t>;</w:t>
      </w:r>
    </w:p>
    <w:p w14:paraId="6A1D58CE" w14:textId="5196264A" w:rsidR="00DC52D0" w:rsidRDefault="00DC52D0" w:rsidP="00DD206B">
      <w:pPr>
        <w:pStyle w:val="NormalWeb"/>
        <w:numPr>
          <w:ilvl w:val="0"/>
          <w:numId w:val="5"/>
        </w:numPr>
        <w:spacing w:line="360" w:lineRule="auto"/>
        <w:jc w:val="both"/>
      </w:pPr>
      <w:r>
        <w:t>Le vol</w:t>
      </w:r>
      <w:r w:rsidR="004F0FF9">
        <w:t xml:space="preserve"> de </w:t>
      </w:r>
      <w:r w:rsidR="004F0FF9" w:rsidRPr="00AF0706">
        <w:rPr>
          <w:lang w:val="fr-FR"/>
        </w:rPr>
        <w:t>véhicule</w:t>
      </w:r>
      <w:r w:rsidR="00D979F9">
        <w:t>;</w:t>
      </w:r>
    </w:p>
    <w:p w14:paraId="02E4BAA5" w14:textId="49F450D8" w:rsidR="00DC52D0" w:rsidRPr="00F23B14" w:rsidRDefault="00DC52D0" w:rsidP="00DD206B">
      <w:pPr>
        <w:pStyle w:val="NormalWeb"/>
        <w:numPr>
          <w:ilvl w:val="0"/>
          <w:numId w:val="5"/>
        </w:numPr>
        <w:spacing w:line="360" w:lineRule="auto"/>
        <w:jc w:val="both"/>
        <w:rPr>
          <w:lang w:val="fr-FR"/>
        </w:rPr>
      </w:pPr>
      <w:r>
        <w:rPr>
          <w:lang w:val="fr-FR"/>
        </w:rPr>
        <w:t>La f</w:t>
      </w:r>
      <w:r w:rsidRPr="00F23B14">
        <w:rPr>
          <w:lang w:val="fr-FR"/>
        </w:rPr>
        <w:t xml:space="preserve">raude, </w:t>
      </w:r>
      <w:r>
        <w:rPr>
          <w:lang w:val="fr-FR"/>
        </w:rPr>
        <w:t xml:space="preserve">le </w:t>
      </w:r>
      <w:r w:rsidRPr="00F23B14">
        <w:rPr>
          <w:lang w:val="fr-FR"/>
        </w:rPr>
        <w:t xml:space="preserve">faux et usage de faux, </w:t>
      </w:r>
      <w:r>
        <w:rPr>
          <w:lang w:val="fr-FR"/>
        </w:rPr>
        <w:t>l’</w:t>
      </w:r>
      <w:r w:rsidRPr="00F23B14">
        <w:rPr>
          <w:lang w:val="fr-FR"/>
        </w:rPr>
        <w:t xml:space="preserve">escroquerie et </w:t>
      </w:r>
      <w:r>
        <w:rPr>
          <w:lang w:val="fr-FR"/>
        </w:rPr>
        <w:t>l’</w:t>
      </w:r>
      <w:r w:rsidRPr="00F23B14">
        <w:rPr>
          <w:lang w:val="fr-FR"/>
        </w:rPr>
        <w:t>abus de confiance</w:t>
      </w:r>
      <w:r w:rsidR="00D979F9">
        <w:rPr>
          <w:lang w:val="fr-FR"/>
        </w:rPr>
        <w:t> ;</w:t>
      </w:r>
    </w:p>
    <w:p w14:paraId="7FC048A2" w14:textId="67EBE024" w:rsidR="00B52647" w:rsidRPr="00832B83" w:rsidRDefault="00DC52D0" w:rsidP="00832B83">
      <w:pPr>
        <w:pStyle w:val="NormalWeb"/>
        <w:numPr>
          <w:ilvl w:val="0"/>
          <w:numId w:val="5"/>
        </w:numPr>
        <w:spacing w:line="360" w:lineRule="auto"/>
        <w:jc w:val="both"/>
      </w:pPr>
      <w:r>
        <w:lastRenderedPageBreak/>
        <w:t xml:space="preserve">La </w:t>
      </w:r>
      <w:proofErr w:type="spellStart"/>
      <w:r>
        <w:t>fraude</w:t>
      </w:r>
      <w:proofErr w:type="spellEnd"/>
      <w:r>
        <w:t xml:space="preserve"> </w:t>
      </w:r>
      <w:proofErr w:type="spellStart"/>
      <w:r w:rsidR="00D979F9">
        <w:t>fiscal</w:t>
      </w:r>
      <w:r w:rsidR="00E03D7A">
        <w:t>e</w:t>
      </w:r>
      <w:proofErr w:type="spellEnd"/>
      <w:r w:rsidR="00D979F9">
        <w:t>.</w:t>
      </w:r>
    </w:p>
    <w:p w14:paraId="56036E29" w14:textId="5226E0DF" w:rsidR="00D76D96" w:rsidRPr="00D76D96" w:rsidRDefault="0097476E" w:rsidP="00DD206B">
      <w:pPr>
        <w:pStyle w:val="Titre4"/>
      </w:pPr>
      <w:r w:rsidRPr="008F704B">
        <w:rPr>
          <w:sz w:val="22"/>
        </w:rPr>
        <w:tab/>
      </w:r>
      <w:bookmarkStart w:id="8" w:name="_Toc190361411"/>
      <w:r w:rsidR="00C803B2">
        <w:t>Evaluation de la menace liée au trafic illicite de stupéfiants</w:t>
      </w:r>
      <w:bookmarkEnd w:id="8"/>
    </w:p>
    <w:p w14:paraId="4A4D9F29" w14:textId="74C73CBA" w:rsidR="00B268C1" w:rsidRPr="00B268C1" w:rsidRDefault="00B268C1" w:rsidP="00DD206B">
      <w:pPr>
        <w:tabs>
          <w:tab w:val="left" w:pos="567"/>
        </w:tabs>
        <w:spacing w:before="240" w:after="120" w:line="360" w:lineRule="auto"/>
        <w:jc w:val="both"/>
        <w:rPr>
          <w:rFonts w:cs="Times New Roman"/>
          <w:sz w:val="22"/>
          <w:szCs w:val="22"/>
        </w:rPr>
      </w:pPr>
      <w:r w:rsidRPr="00B268C1">
        <w:rPr>
          <w:rFonts w:cs="Times New Roman"/>
          <w:sz w:val="22"/>
          <w:szCs w:val="22"/>
        </w:rPr>
        <w:t>Lors de l’ENR de 2019, le trafic illicite de stupéfiants avait été considéré comme une menace intérieure. Toutefois, l’évolution des données, combinée aux échanges de coopération judiciaire, révèle aujourd’hui son caractère transfrontalier avéré. Les autorités ivoiriennes sont sollicitées de manière croissante pour des affaires impliquant des réseaux opérant au-delà des frontières nationales.</w:t>
      </w:r>
    </w:p>
    <w:p w14:paraId="080FA6DF" w14:textId="3CB4E1E1" w:rsidR="00B268C1" w:rsidRPr="00B268C1" w:rsidRDefault="00B268C1" w:rsidP="00DD206B">
      <w:pPr>
        <w:tabs>
          <w:tab w:val="left" w:pos="567"/>
        </w:tabs>
        <w:spacing w:before="240" w:after="120" w:line="360" w:lineRule="auto"/>
        <w:jc w:val="both"/>
        <w:rPr>
          <w:rFonts w:cs="Times New Roman"/>
          <w:sz w:val="22"/>
          <w:szCs w:val="22"/>
        </w:rPr>
      </w:pPr>
      <w:r w:rsidRPr="00B268C1">
        <w:rPr>
          <w:rFonts w:cs="Times New Roman"/>
          <w:sz w:val="22"/>
          <w:szCs w:val="22"/>
        </w:rPr>
        <w:t>En 2023, la DACP a enregistré 49 demandes d’entraide judiciaire liées au trafic de stupéfiants, auxquelles se sont ajoutées 51 autres entre janvier 2024 et janvier 2025.</w:t>
      </w:r>
    </w:p>
    <w:p w14:paraId="0E6E119F" w14:textId="60D100B6" w:rsidR="00B268C1" w:rsidRPr="00B268C1" w:rsidRDefault="00B268C1" w:rsidP="00DD206B">
      <w:pPr>
        <w:tabs>
          <w:tab w:val="left" w:pos="567"/>
        </w:tabs>
        <w:spacing w:before="240" w:after="120" w:line="360" w:lineRule="auto"/>
        <w:jc w:val="both"/>
        <w:rPr>
          <w:rFonts w:cs="Times New Roman"/>
          <w:sz w:val="22"/>
          <w:szCs w:val="22"/>
        </w:rPr>
      </w:pPr>
      <w:r w:rsidRPr="00B268C1">
        <w:rPr>
          <w:rFonts w:cs="Times New Roman"/>
          <w:sz w:val="22"/>
          <w:szCs w:val="22"/>
        </w:rPr>
        <w:t xml:space="preserve">Le PPEF a, sur la même période, transmis 37 demandes d’entraide judiciaire représentant 61,66 % de ses réquisitions, toutes relatives au trafic de stupéfiants. Une enquête menée par le PPEF a permis de découvrir 166,6 kg de poudre d’héroïne et 0,5 litre de liquide contenant de l’héroïne dissimulés dans 42 moteurs V6 de véhicules d’occasion de </w:t>
      </w:r>
      <w:proofErr w:type="spellStart"/>
      <w:r w:rsidRPr="00B268C1">
        <w:rPr>
          <w:rFonts w:cs="Times New Roman"/>
          <w:sz w:val="22"/>
          <w:szCs w:val="22"/>
        </w:rPr>
        <w:t>marque</w:t>
      </w:r>
      <w:proofErr w:type="spellEnd"/>
      <w:r w:rsidRPr="00B268C1">
        <w:rPr>
          <w:rFonts w:cs="Times New Roman"/>
          <w:sz w:val="22"/>
          <w:szCs w:val="22"/>
        </w:rPr>
        <w:t xml:space="preserve"> Toyota. Par ailleurs, en décembre 2024, des enquêtes conjointes ont conduit à la saisie de 7,15 kg de cocaïne à l’aéroport d’Abidjan.</w:t>
      </w:r>
    </w:p>
    <w:p w14:paraId="11A4A504" w14:textId="3A521C8D" w:rsidR="00B268C1" w:rsidRPr="00B268C1" w:rsidRDefault="00B268C1" w:rsidP="00DD206B">
      <w:pPr>
        <w:tabs>
          <w:tab w:val="left" w:pos="567"/>
        </w:tabs>
        <w:spacing w:before="240" w:after="120" w:line="360" w:lineRule="auto"/>
        <w:jc w:val="both"/>
        <w:rPr>
          <w:rFonts w:cs="Times New Roman"/>
          <w:sz w:val="22"/>
          <w:szCs w:val="22"/>
        </w:rPr>
      </w:pPr>
      <w:r w:rsidRPr="00B268C1">
        <w:rPr>
          <w:rFonts w:cs="Times New Roman"/>
          <w:sz w:val="22"/>
          <w:szCs w:val="22"/>
        </w:rPr>
        <w:t>Selon les demandes d’entraide formelles reçues par les autorités compétentes ivoiriennes, les principaux États requérants sont :</w:t>
      </w:r>
    </w:p>
    <w:p w14:paraId="6E1B45D5" w14:textId="1F2DC7AE" w:rsidR="00B268C1" w:rsidRPr="00B268C1" w:rsidRDefault="00B268C1" w:rsidP="00DD206B">
      <w:pPr>
        <w:pStyle w:val="Paragraphedeliste"/>
        <w:numPr>
          <w:ilvl w:val="0"/>
          <w:numId w:val="9"/>
        </w:numPr>
        <w:tabs>
          <w:tab w:val="left" w:pos="567"/>
        </w:tabs>
        <w:spacing w:before="240" w:after="120" w:line="360" w:lineRule="auto"/>
        <w:jc w:val="both"/>
        <w:rPr>
          <w:rFonts w:cs="Times New Roman"/>
          <w:sz w:val="22"/>
          <w:szCs w:val="22"/>
        </w:rPr>
      </w:pPr>
      <w:proofErr w:type="gramStart"/>
      <w:r w:rsidRPr="00B268C1">
        <w:rPr>
          <w:rFonts w:cs="Times New Roman"/>
          <w:sz w:val="22"/>
          <w:szCs w:val="22"/>
        </w:rPr>
        <w:t>pour</w:t>
      </w:r>
      <w:proofErr w:type="gramEnd"/>
      <w:r w:rsidRPr="00B268C1">
        <w:rPr>
          <w:rFonts w:cs="Times New Roman"/>
          <w:sz w:val="22"/>
          <w:szCs w:val="22"/>
        </w:rPr>
        <w:t xml:space="preserve"> l’Europe de l’Ouest : la France, la Belgique et la Suisse ;</w:t>
      </w:r>
    </w:p>
    <w:p w14:paraId="1D8B172C" w14:textId="77777777" w:rsidR="00B268C1" w:rsidRPr="00B268C1" w:rsidRDefault="00B268C1" w:rsidP="00DD206B">
      <w:pPr>
        <w:pStyle w:val="Paragraphedeliste"/>
        <w:numPr>
          <w:ilvl w:val="0"/>
          <w:numId w:val="9"/>
        </w:numPr>
        <w:tabs>
          <w:tab w:val="left" w:pos="567"/>
        </w:tabs>
        <w:spacing w:before="240" w:after="120" w:line="360" w:lineRule="auto"/>
        <w:jc w:val="both"/>
        <w:rPr>
          <w:rFonts w:cs="Times New Roman"/>
          <w:sz w:val="22"/>
          <w:szCs w:val="22"/>
        </w:rPr>
      </w:pPr>
      <w:proofErr w:type="gramStart"/>
      <w:r w:rsidRPr="00B268C1">
        <w:rPr>
          <w:rFonts w:cs="Times New Roman"/>
          <w:sz w:val="22"/>
          <w:szCs w:val="22"/>
        </w:rPr>
        <w:t>pour</w:t>
      </w:r>
      <w:proofErr w:type="gramEnd"/>
      <w:r w:rsidRPr="00B268C1">
        <w:rPr>
          <w:rFonts w:cs="Times New Roman"/>
          <w:sz w:val="22"/>
          <w:szCs w:val="22"/>
        </w:rPr>
        <w:t xml:space="preserve"> l’Afrique de l’Ouest : le Burkina-Faso.</w:t>
      </w:r>
    </w:p>
    <w:p w14:paraId="4F855A35" w14:textId="77777777" w:rsidR="00B268C1" w:rsidRPr="00B268C1" w:rsidRDefault="00B268C1" w:rsidP="00DD206B">
      <w:pPr>
        <w:tabs>
          <w:tab w:val="left" w:pos="567"/>
        </w:tabs>
        <w:spacing w:before="240" w:after="120" w:line="360" w:lineRule="auto"/>
        <w:jc w:val="both"/>
        <w:rPr>
          <w:rFonts w:cs="Times New Roman"/>
          <w:sz w:val="22"/>
          <w:szCs w:val="22"/>
        </w:rPr>
      </w:pPr>
      <w:r w:rsidRPr="00B268C1">
        <w:rPr>
          <w:rFonts w:cs="Times New Roman"/>
          <w:sz w:val="22"/>
          <w:szCs w:val="22"/>
        </w:rPr>
        <w:t>En ce qui concerne les demandes d’entraide transmises, les principaux Etats requis sont la France, la Guinée, le Mali et le Maroc.</w:t>
      </w:r>
    </w:p>
    <w:p w14:paraId="6F71F0E6" w14:textId="41F33CE6" w:rsidR="00B268C1" w:rsidRPr="00B268C1" w:rsidRDefault="00B268C1" w:rsidP="00DD206B">
      <w:pPr>
        <w:tabs>
          <w:tab w:val="left" w:pos="567"/>
        </w:tabs>
        <w:spacing w:before="240" w:after="120" w:line="360" w:lineRule="auto"/>
        <w:jc w:val="both"/>
        <w:rPr>
          <w:rFonts w:cs="Times New Roman"/>
          <w:sz w:val="22"/>
          <w:szCs w:val="22"/>
        </w:rPr>
      </w:pPr>
      <w:r w:rsidRPr="00B268C1">
        <w:rPr>
          <w:rFonts w:cs="Times New Roman"/>
          <w:sz w:val="22"/>
          <w:szCs w:val="22"/>
        </w:rPr>
        <w:t>Le</w:t>
      </w:r>
      <w:r w:rsidR="00CC1D83">
        <w:rPr>
          <w:rFonts w:cs="Times New Roman"/>
          <w:sz w:val="22"/>
          <w:szCs w:val="22"/>
        </w:rPr>
        <w:t xml:space="preserve"> </w:t>
      </w:r>
      <w:r w:rsidRPr="00B268C1">
        <w:rPr>
          <w:rFonts w:cs="Times New Roman"/>
          <w:sz w:val="22"/>
          <w:szCs w:val="22"/>
        </w:rPr>
        <w:t>CILAD a, en 2022 et 2023, recensé plusieurs cas de trafic de produits pharmaceutiques de contrefaçon et de stupéfiants à destination de la Côte d’Ivoire. Les saisies se sont élevées respectivement à 289,713 tonnes et 397,519 tonnes de Médicaments de Qualité Inférieure et Falsifiés (MQIF) et de produits médicamenteux prohibés d’origine chinoise. Selon la Stratégie Nationale de Lutte contre la Criminalité Organisée (SNCO), la valeur marchande des drogues et substances psychotropes saisies entre 2019 et 2023 est estimée à plus de 2 327 milliards de francs CFA, soit près de 4 milliards de dollars US.</w:t>
      </w:r>
    </w:p>
    <w:p w14:paraId="357E11D0" w14:textId="1E2019D1" w:rsidR="00B268C1" w:rsidRPr="00B268C1" w:rsidRDefault="00B268C1" w:rsidP="00DD206B">
      <w:pPr>
        <w:tabs>
          <w:tab w:val="left" w:pos="567"/>
        </w:tabs>
        <w:spacing w:before="240" w:after="120" w:line="360" w:lineRule="auto"/>
        <w:jc w:val="both"/>
        <w:rPr>
          <w:rFonts w:cs="Times New Roman"/>
          <w:sz w:val="22"/>
          <w:szCs w:val="22"/>
        </w:rPr>
      </w:pPr>
      <w:r w:rsidRPr="00B268C1">
        <w:rPr>
          <w:rFonts w:cs="Times New Roman"/>
          <w:sz w:val="22"/>
          <w:szCs w:val="22"/>
        </w:rPr>
        <w:t xml:space="preserve">Le contexte international confirme l’ampleur du phénomène. Le « Rapport mondial sur les drogues 2022 », publié le 27 juin 2022 par l’Office des Nations Unies contre la Drogue et le Crime (ONUDC), souligne que l’Afrique est devenue une zone stratégique pour les narco-trafiquants, plusieurs pays servant de points de transit pour les stupéfiants destinés à l’Europe et à d’autres marchés. La porosité </w:t>
      </w:r>
      <w:r w:rsidRPr="00B268C1">
        <w:rPr>
          <w:rFonts w:cs="Times New Roman"/>
          <w:sz w:val="22"/>
          <w:szCs w:val="22"/>
        </w:rPr>
        <w:lastRenderedPageBreak/>
        <w:t xml:space="preserve">des frontières, la faiblesse de l’application de la loi et la corruption renforcent cette situation. La Côte d’Ivoire joue un rôle clé comme pays de transit pour le commerce de cocaïne entre l’Amérique latine et l’Europe. La drogue y est introduite via le vaste littoral, avant d’être expédiée vers les marchés européens, notamment par déchargement en mer à partir de bateaux de pêche ou par conteneurs transitant par les ports maritimes. Le pays est également considéré comme un bastion de la « </w:t>
      </w:r>
      <w:proofErr w:type="spellStart"/>
      <w:r w:rsidRPr="00B268C1">
        <w:rPr>
          <w:rFonts w:cs="Times New Roman"/>
          <w:sz w:val="22"/>
          <w:szCs w:val="22"/>
        </w:rPr>
        <w:t>Ndrangheta</w:t>
      </w:r>
      <w:proofErr w:type="spellEnd"/>
      <w:r w:rsidRPr="00B268C1">
        <w:rPr>
          <w:rFonts w:cs="Times New Roman"/>
          <w:sz w:val="22"/>
          <w:szCs w:val="22"/>
        </w:rPr>
        <w:t xml:space="preserve"> », organisation mafieuse italienne qui contrôle une part importante des flux de cocaïne d’Afrique de l’Ouest vers l’Europe.</w:t>
      </w:r>
    </w:p>
    <w:p w14:paraId="407543B0" w14:textId="5D60C951" w:rsidR="00B268C1" w:rsidRPr="00B268C1" w:rsidRDefault="00B268C1" w:rsidP="00DD206B">
      <w:pPr>
        <w:tabs>
          <w:tab w:val="left" w:pos="567"/>
        </w:tabs>
        <w:spacing w:before="240" w:after="120" w:line="360" w:lineRule="auto"/>
        <w:jc w:val="both"/>
        <w:rPr>
          <w:rFonts w:cs="Times New Roman"/>
          <w:sz w:val="22"/>
          <w:szCs w:val="22"/>
        </w:rPr>
      </w:pPr>
      <w:r w:rsidRPr="00B268C1">
        <w:rPr>
          <w:rFonts w:cs="Times New Roman"/>
          <w:sz w:val="22"/>
          <w:szCs w:val="22"/>
        </w:rPr>
        <w:t>Certains circuits impliquent le Mali et le Niger, où la cocaïne transitant par la Côte d’Ivoire est reconditionnée et redistribuée en petits lots avant d’être transportée vers les zones sahéliennes. Ce réseau bénéficie souvent du soutien de groupes djihadistes qui facilitent le trafic et l’exportation par voie aérienne. Quant au cannabis, il transite principalement du Ghana vers le Libéria en passant par la Côte d’Ivoire.</w:t>
      </w:r>
    </w:p>
    <w:p w14:paraId="77F5A21D" w14:textId="3A01427F" w:rsidR="00B268C1" w:rsidRPr="00B268C1" w:rsidRDefault="00B268C1" w:rsidP="00DD206B">
      <w:pPr>
        <w:tabs>
          <w:tab w:val="left" w:pos="567"/>
        </w:tabs>
        <w:spacing w:before="240" w:after="120" w:line="360" w:lineRule="auto"/>
        <w:jc w:val="both"/>
        <w:rPr>
          <w:rFonts w:cs="Times New Roman"/>
          <w:sz w:val="22"/>
          <w:szCs w:val="22"/>
        </w:rPr>
      </w:pPr>
      <w:r w:rsidRPr="00B268C1">
        <w:rPr>
          <w:rFonts w:cs="Times New Roman"/>
          <w:sz w:val="22"/>
          <w:szCs w:val="22"/>
        </w:rPr>
        <w:t xml:space="preserve">D’après une recherche universitaire conduite en octobre 2024 sur la « </w:t>
      </w:r>
      <w:r w:rsidRPr="009F0687">
        <w:rPr>
          <w:rFonts w:cs="Times New Roman"/>
          <w:i/>
          <w:iCs/>
          <w:sz w:val="22"/>
          <w:szCs w:val="22"/>
        </w:rPr>
        <w:t>tendance des saisies de drogue, évolution des tactiques des trafiquants et stratégies de lutte en Côte d’Ivoire</w:t>
      </w:r>
      <w:r w:rsidRPr="00B268C1">
        <w:rPr>
          <w:rFonts w:cs="Times New Roman"/>
          <w:sz w:val="22"/>
          <w:szCs w:val="22"/>
        </w:rPr>
        <w:t xml:space="preserve"> », la ville d’Abidjan a enregistré la saisie de 46,912 tonnes de stupéfiants (38 t de cannabis et 8,912 t de cocaïne) sur la période 2022-2023.</w:t>
      </w:r>
    </w:p>
    <w:p w14:paraId="6AEDC38B" w14:textId="651817B1" w:rsidR="00B268C1" w:rsidRPr="00B268C1" w:rsidRDefault="00B268C1" w:rsidP="00DD206B">
      <w:pPr>
        <w:tabs>
          <w:tab w:val="left" w:pos="567"/>
        </w:tabs>
        <w:spacing w:before="240" w:after="120" w:line="360" w:lineRule="auto"/>
        <w:jc w:val="both"/>
        <w:rPr>
          <w:rFonts w:cs="Times New Roman"/>
          <w:sz w:val="22"/>
          <w:szCs w:val="22"/>
        </w:rPr>
      </w:pPr>
      <w:r w:rsidRPr="00B268C1">
        <w:rPr>
          <w:rFonts w:cs="Times New Roman"/>
          <w:sz w:val="22"/>
          <w:szCs w:val="22"/>
        </w:rPr>
        <w:t>De plus, une opération de sécurité aux frontières coordonnée par INTERPOL en Afrique de l’Ouest a permis l’arrestation de 45 individus et la saisie de drogues et de médicaments contrefaits d’une valeur de plusieurs millions de dollars, dont 40 tonnes de produits pharmaceutiques non conformes en Côte d’Ivoire.</w:t>
      </w:r>
    </w:p>
    <w:p w14:paraId="71A69C5D" w14:textId="508B323A" w:rsidR="00B268C1" w:rsidRPr="00B268C1" w:rsidRDefault="00B268C1" w:rsidP="00DD206B">
      <w:pPr>
        <w:tabs>
          <w:tab w:val="left" w:pos="567"/>
        </w:tabs>
        <w:spacing w:before="240" w:after="120" w:line="360" w:lineRule="auto"/>
        <w:jc w:val="both"/>
        <w:rPr>
          <w:rFonts w:cs="Times New Roman"/>
          <w:sz w:val="22"/>
          <w:szCs w:val="22"/>
        </w:rPr>
      </w:pPr>
      <w:r w:rsidRPr="00B268C1">
        <w:rPr>
          <w:rFonts w:cs="Times New Roman"/>
          <w:sz w:val="22"/>
          <w:szCs w:val="22"/>
        </w:rPr>
        <w:t xml:space="preserve">Les conséquences de ce trafic sont profondes, tant sur le plan sécuritaire qu’économique. Les revenus générés par la drogue alimentent des activités criminelles connexes, notamment le terrorisme dans les pays frontaliers du nord de la Côte d’Ivoire. Ce trafic est également lié à des pratiques illégales telles que l’orpaillage </w:t>
      </w:r>
      <w:r w:rsidR="00A61007">
        <w:rPr>
          <w:rFonts w:cs="Times New Roman"/>
          <w:sz w:val="22"/>
          <w:szCs w:val="22"/>
        </w:rPr>
        <w:t>illégal</w:t>
      </w:r>
      <w:r w:rsidRPr="00B268C1">
        <w:rPr>
          <w:rFonts w:cs="Times New Roman"/>
          <w:sz w:val="22"/>
          <w:szCs w:val="22"/>
        </w:rPr>
        <w:t xml:space="preserve">, qui constitue un vecteur de </w:t>
      </w:r>
      <w:r w:rsidR="00F14970">
        <w:rPr>
          <w:rFonts w:cs="Times New Roman"/>
          <w:sz w:val="22"/>
          <w:szCs w:val="22"/>
        </w:rPr>
        <w:t>BC</w:t>
      </w:r>
      <w:r w:rsidRPr="00B268C1">
        <w:rPr>
          <w:rFonts w:cs="Times New Roman"/>
          <w:sz w:val="22"/>
          <w:szCs w:val="22"/>
        </w:rPr>
        <w:t>.</w:t>
      </w:r>
    </w:p>
    <w:p w14:paraId="3C1CB369" w14:textId="0712C9F8" w:rsidR="001B59AE" w:rsidRDefault="00B268C1" w:rsidP="00DD206B">
      <w:pPr>
        <w:tabs>
          <w:tab w:val="left" w:pos="567"/>
        </w:tabs>
        <w:spacing w:before="240" w:after="120" w:line="360" w:lineRule="auto"/>
        <w:jc w:val="both"/>
        <w:rPr>
          <w:rFonts w:cs="Times New Roman"/>
          <w:sz w:val="22"/>
          <w:szCs w:val="22"/>
        </w:rPr>
      </w:pPr>
      <w:r w:rsidRPr="00B268C1">
        <w:rPr>
          <w:rFonts w:cs="Times New Roman"/>
          <w:sz w:val="22"/>
          <w:szCs w:val="22"/>
        </w:rPr>
        <w:t xml:space="preserve">Au regard de la diversité et de l’ampleur des activités illicites constatées, de l’implication de réseaux criminels internationaux, du volume significatif de produits saisis et de l’existence de liens étroits avec </w:t>
      </w:r>
      <w:r w:rsidRPr="000E6CAC">
        <w:rPr>
          <w:rFonts w:cs="Times New Roman"/>
          <w:sz w:val="22"/>
          <w:szCs w:val="22"/>
        </w:rPr>
        <w:t xml:space="preserve">d’autres menaces majeures telles que le terrorisme et le </w:t>
      </w:r>
      <w:r w:rsidR="003E4A35" w:rsidRPr="000E6CAC">
        <w:rPr>
          <w:rFonts w:cs="Times New Roman"/>
          <w:sz w:val="22"/>
          <w:szCs w:val="22"/>
        </w:rPr>
        <w:t>BC</w:t>
      </w:r>
      <w:r w:rsidRPr="000E6CAC">
        <w:rPr>
          <w:rFonts w:cs="Times New Roman"/>
          <w:sz w:val="22"/>
          <w:szCs w:val="22"/>
        </w:rPr>
        <w:t xml:space="preserve">, le niveau de la menace extérieure liée au trafic illicite de stupéfiants en Côte d’Ivoire est </w:t>
      </w:r>
      <w:r w:rsidRPr="000E6CAC">
        <w:rPr>
          <w:rFonts w:cs="Times New Roman"/>
          <w:b/>
          <w:bCs/>
          <w:sz w:val="22"/>
          <w:szCs w:val="22"/>
        </w:rPr>
        <w:t>« très élevé »</w:t>
      </w:r>
      <w:r w:rsidRPr="000E6CAC">
        <w:rPr>
          <w:rFonts w:cs="Times New Roman"/>
          <w:sz w:val="22"/>
          <w:szCs w:val="22"/>
        </w:rPr>
        <w:t>.</w:t>
      </w:r>
    </w:p>
    <w:p w14:paraId="376A62E6" w14:textId="15CB2E82" w:rsidR="00DD206B" w:rsidRDefault="00DD206B" w:rsidP="00B873A3">
      <w:pPr>
        <w:tabs>
          <w:tab w:val="left" w:pos="567"/>
        </w:tabs>
        <w:spacing w:before="240" w:after="120" w:line="360" w:lineRule="auto"/>
        <w:jc w:val="both"/>
        <w:rPr>
          <w:rFonts w:cs="Times New Roman"/>
          <w:sz w:val="22"/>
          <w:szCs w:val="22"/>
        </w:rPr>
      </w:pPr>
    </w:p>
    <w:tbl>
      <w:tblPr>
        <w:tblStyle w:val="TableNormal"/>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E8E8E8" w:themeFill="background2"/>
        <w:tblLayout w:type="fixed"/>
        <w:tblLook w:val="01E0" w:firstRow="1" w:lastRow="1" w:firstColumn="1" w:lastColumn="1" w:noHBand="0" w:noVBand="0"/>
      </w:tblPr>
      <w:tblGrid>
        <w:gridCol w:w="9209"/>
      </w:tblGrid>
      <w:tr w:rsidR="00DD206B" w:rsidRPr="00A86A24" w14:paraId="68073D7E" w14:textId="77777777" w:rsidTr="00AC5A9F">
        <w:trPr>
          <w:trHeight w:val="796"/>
        </w:trPr>
        <w:tc>
          <w:tcPr>
            <w:tcW w:w="9209" w:type="dxa"/>
            <w:shd w:val="clear" w:color="auto" w:fill="E8E8E8" w:themeFill="background2"/>
          </w:tcPr>
          <w:p w14:paraId="3EBAC901" w14:textId="2D6B634D" w:rsidR="00DD206B" w:rsidRPr="00A86A24" w:rsidRDefault="00DD206B" w:rsidP="00DD206B">
            <w:pPr>
              <w:pStyle w:val="TableParagraph"/>
              <w:spacing w:before="169" w:line="360" w:lineRule="auto"/>
              <w:ind w:left="107"/>
              <w:jc w:val="both"/>
              <w:rPr>
                <w:b/>
                <w:u w:val="single"/>
                <w:lang w:val="fr-CI"/>
              </w:rPr>
            </w:pPr>
            <w:r w:rsidRPr="00A86A24">
              <w:rPr>
                <w:b/>
                <w:u w:val="single"/>
                <w:lang w:val="fr-CI"/>
              </w:rPr>
              <w:t xml:space="preserve">Cas </w:t>
            </w:r>
            <w:proofErr w:type="gramStart"/>
            <w:r w:rsidR="0046548A">
              <w:rPr>
                <w:b/>
                <w:u w:val="single"/>
                <w:lang w:val="fr-CI"/>
              </w:rPr>
              <w:t>6</w:t>
            </w:r>
            <w:r w:rsidRPr="00A86A24">
              <w:rPr>
                <w:b/>
                <w:u w:val="single"/>
                <w:lang w:val="fr-CI"/>
              </w:rPr>
              <w:t>:</w:t>
            </w:r>
            <w:proofErr w:type="gramEnd"/>
            <w:r w:rsidRPr="00A86A24">
              <w:rPr>
                <w:b/>
                <w:u w:val="single"/>
                <w:lang w:val="fr-CI"/>
              </w:rPr>
              <w:t xml:space="preserve"> Blanchiment d'argent et trafic de stupéfiants (héroïne et substances psychotropes)</w:t>
            </w:r>
          </w:p>
          <w:p w14:paraId="1EBE0E45" w14:textId="77777777" w:rsidR="00DD206B" w:rsidRPr="00A86A24" w:rsidRDefault="00DD206B" w:rsidP="00DD206B">
            <w:pPr>
              <w:pStyle w:val="TableParagraph"/>
              <w:spacing w:before="170" w:line="360" w:lineRule="auto"/>
              <w:ind w:left="107" w:right="79"/>
              <w:jc w:val="both"/>
              <w:rPr>
                <w:lang w:val="fr-CI"/>
              </w:rPr>
            </w:pPr>
            <w:r w:rsidRPr="00A86A24">
              <w:rPr>
                <w:lang w:val="fr-CI"/>
              </w:rPr>
              <w:t xml:space="preserve">Sur la base d'informations reçues en mars 2024 d'une autorité d'enquête dans les Amériques, un </w:t>
            </w:r>
            <w:r w:rsidRPr="00A86A24">
              <w:rPr>
                <w:lang w:val="fr-CI"/>
              </w:rPr>
              <w:lastRenderedPageBreak/>
              <w:t>conteneur portant le numéro X, en provenance d'un port du Golfe et soupçonné de contenir de la drogue, a été saisi dans un quartier de la commune de Cocody à Abidjan. Le conteneur a été acheminé dans les locaux du Groupement de sécurité portuaire d'Abidjan (GSPA) pour y être entreposé.</w:t>
            </w:r>
          </w:p>
          <w:p w14:paraId="7C363DE9" w14:textId="77777777" w:rsidR="00DD206B" w:rsidRPr="00A86A24" w:rsidRDefault="00DD206B" w:rsidP="00DD206B">
            <w:pPr>
              <w:pStyle w:val="TableParagraph"/>
              <w:spacing w:before="120" w:line="360" w:lineRule="auto"/>
              <w:ind w:left="103" w:right="73" w:hanging="10"/>
              <w:jc w:val="both"/>
              <w:rPr>
                <w:lang w:val="fr-CI"/>
              </w:rPr>
            </w:pPr>
            <w:r w:rsidRPr="00A86A24">
              <w:rPr>
                <w:lang w:val="fr-CI"/>
              </w:rPr>
              <w:t xml:space="preserve">Au cours de la perquisition, une équipe composée d'unités spécialisées de l'UCT, de la GSPA, de la Brigade portuaire, de l'unité canine de l'unité antidrogue du Port et de la Section de recherche d'Abidjan, </w:t>
            </w:r>
            <w:r w:rsidRPr="00A86A24">
              <w:rPr>
                <w:b/>
                <w:lang w:val="fr-CI"/>
              </w:rPr>
              <w:t>sous la coordination du Parquet de la République au sein de la PPEF</w:t>
            </w:r>
            <w:r w:rsidRPr="00A86A24">
              <w:rPr>
                <w:lang w:val="fr-CI"/>
              </w:rPr>
              <w:t>, a découvert plusieurs objets constitués de moteurs et de pièces automobiles. Un examen physique méticuleux des moteurs (démontage complet du bloc-cylindres) a permis de découvrir, grâce à la coopération de l'unité canine susmentionnée, plusieurs sachets de substances psychotropes synthétiques et un liquide caché dans les cylindres.</w:t>
            </w:r>
          </w:p>
          <w:p w14:paraId="47F21379" w14:textId="77777777" w:rsidR="00DD206B" w:rsidRPr="00A86A24" w:rsidRDefault="00DD206B" w:rsidP="00DD206B">
            <w:pPr>
              <w:pStyle w:val="TableParagraph"/>
              <w:spacing w:before="120" w:line="360" w:lineRule="auto"/>
              <w:ind w:left="103" w:right="72" w:hanging="10"/>
              <w:jc w:val="both"/>
              <w:rPr>
                <w:lang w:val="fr-CI"/>
              </w:rPr>
            </w:pPr>
            <w:r w:rsidRPr="00A86A24">
              <w:rPr>
                <w:lang w:val="fr-CI"/>
              </w:rPr>
              <w:t xml:space="preserve">Au total, </w:t>
            </w:r>
            <w:r w:rsidRPr="00A86A24">
              <w:rPr>
                <w:b/>
                <w:lang w:val="fr-CI"/>
              </w:rPr>
              <w:t xml:space="preserve">166,6 kg </w:t>
            </w:r>
            <w:r w:rsidRPr="00A86A24">
              <w:rPr>
                <w:lang w:val="fr-CI"/>
              </w:rPr>
              <w:t xml:space="preserve">de poudre et </w:t>
            </w:r>
            <w:r w:rsidRPr="00A86A24">
              <w:rPr>
                <w:b/>
                <w:lang w:val="fr-CI"/>
              </w:rPr>
              <w:t xml:space="preserve">0,5 litre </w:t>
            </w:r>
            <w:r w:rsidRPr="00A86A24">
              <w:rPr>
                <w:lang w:val="fr-CI"/>
              </w:rPr>
              <w:t>de liquide ont été retrouvés dans quarante-deux (42) moteurs V6 TOYOTA usagés démontés. L'analyse chimique de ces produits par le laboratoire central de la police a révélé qu'il s'agissait d'</w:t>
            </w:r>
            <w:r w:rsidRPr="00A86A24">
              <w:rPr>
                <w:b/>
                <w:spacing w:val="-2"/>
                <w:lang w:val="fr-CI"/>
              </w:rPr>
              <w:t>héroïne</w:t>
            </w:r>
            <w:r w:rsidRPr="00A86A24">
              <w:rPr>
                <w:spacing w:val="-2"/>
                <w:lang w:val="fr-CI"/>
              </w:rPr>
              <w:t>.</w:t>
            </w:r>
          </w:p>
          <w:p w14:paraId="2CE1DE4D" w14:textId="77777777" w:rsidR="00DD206B" w:rsidRPr="00A86A24" w:rsidRDefault="00DD206B" w:rsidP="00DD206B">
            <w:pPr>
              <w:pStyle w:val="TableParagraph"/>
              <w:spacing w:before="121" w:line="360" w:lineRule="auto"/>
              <w:ind w:left="103" w:right="75" w:hanging="10"/>
              <w:jc w:val="both"/>
              <w:rPr>
                <w:lang w:val="fr-CI"/>
              </w:rPr>
            </w:pPr>
            <w:r w:rsidRPr="00A86A24">
              <w:rPr>
                <w:lang w:val="fr-CI"/>
              </w:rPr>
              <w:t xml:space="preserve">L'enquête judiciaire menée par les différentes unités d'enquête sur instruction et sous le contrôle du procureur du PPEF et </w:t>
            </w:r>
            <w:r w:rsidRPr="00A86A24">
              <w:rPr>
                <w:b/>
                <w:lang w:val="fr-CI"/>
              </w:rPr>
              <w:t xml:space="preserve">l'enquête financière parallèle, </w:t>
            </w:r>
            <w:r w:rsidRPr="00A86A24">
              <w:rPr>
                <w:lang w:val="fr-CI"/>
              </w:rPr>
              <w:t xml:space="preserve">menée sur </w:t>
            </w:r>
            <w:r w:rsidRPr="00A86A24">
              <w:rPr>
                <w:b/>
                <w:lang w:val="fr-CI"/>
              </w:rPr>
              <w:t>instruction du ministère public (y compris la collecte d'informations auprès du QUIPUX, DE L'APBEF-CI, de la DDU et de la DGI)</w:t>
            </w:r>
            <w:r w:rsidRPr="00A86A24">
              <w:rPr>
                <w:lang w:val="fr-CI"/>
              </w:rPr>
              <w:t>, a révélé que les auteurs de l'infraction, qui étaient en fuite, prétendaient être impliqués dans des opérations commerciales et créaient des sociétés écrans à cette fin, ont acquis de nombreux biens immobiliers dans la commune de Cocody à Abidjan. Ces biens, une fois identifiés, ont été saisis et mis à la disposition de l'AGRAC pour gestion.</w:t>
            </w:r>
          </w:p>
          <w:p w14:paraId="701A058A" w14:textId="77777777" w:rsidR="00DD206B" w:rsidRPr="00A86A24" w:rsidRDefault="00DD206B" w:rsidP="00DD206B">
            <w:pPr>
              <w:pStyle w:val="TableParagraph"/>
              <w:spacing w:before="119" w:line="360" w:lineRule="auto"/>
              <w:ind w:left="103" w:right="83" w:hanging="10"/>
              <w:jc w:val="both"/>
              <w:rPr>
                <w:lang w:val="fr-CI"/>
              </w:rPr>
            </w:pPr>
            <w:r w:rsidRPr="00A86A24">
              <w:rPr>
                <w:lang w:val="fr-CI"/>
              </w:rPr>
              <w:t xml:space="preserve">Par ailleurs, une demande par les canaux d'Interpol a été adressée aux autorités de trois pays africains où les individus impliqués dans cette affaire de trafic international de drogue (héroïne) et de blanchiment d'argent seraient censés résider afin d'assister aux demandes d'entraide judiciaire internationale les 5 et 11 février 2025 du juge </w:t>
            </w:r>
            <w:proofErr w:type="gramStart"/>
            <w:r w:rsidRPr="00A86A24">
              <w:rPr>
                <w:lang w:val="fr-CI"/>
              </w:rPr>
              <w:t>d'instruction,  en</w:t>
            </w:r>
            <w:proofErr w:type="gramEnd"/>
            <w:r w:rsidRPr="00A86A24">
              <w:rPr>
                <w:lang w:val="fr-CI"/>
              </w:rPr>
              <w:t xml:space="preserve"> vue de leur arrestation.</w:t>
            </w:r>
          </w:p>
          <w:p w14:paraId="3153699B" w14:textId="77777777" w:rsidR="00DD206B" w:rsidRPr="00A86A24" w:rsidRDefault="00DD206B" w:rsidP="00DD206B">
            <w:pPr>
              <w:pStyle w:val="TableParagraph"/>
              <w:spacing w:before="169" w:line="360" w:lineRule="auto"/>
              <w:ind w:left="107"/>
              <w:jc w:val="both"/>
              <w:rPr>
                <w:lang w:val="fr-CI"/>
              </w:rPr>
            </w:pPr>
            <w:r w:rsidRPr="00A86A24">
              <w:rPr>
                <w:lang w:val="fr-CI"/>
              </w:rPr>
              <w:t>Pour la détection, la localisation et la saisie des avoirs criminels à l'étranger, une demande de coopération informelle a été adressée le 17 février 2025 au Réseau ouest-africain pour le recouvrement des avoirs illicites (ARINWA).</w:t>
            </w:r>
          </w:p>
        </w:tc>
      </w:tr>
    </w:tbl>
    <w:p w14:paraId="3A5A6BC5" w14:textId="77777777" w:rsidR="00DD206B" w:rsidRDefault="00DD206B" w:rsidP="00DD206B">
      <w:pPr>
        <w:tabs>
          <w:tab w:val="left" w:pos="567"/>
        </w:tabs>
        <w:spacing w:before="240" w:after="120" w:line="360" w:lineRule="auto"/>
        <w:jc w:val="both"/>
        <w:rPr>
          <w:rFonts w:cs="Times New Roman"/>
          <w:sz w:val="22"/>
          <w:szCs w:val="22"/>
        </w:rPr>
      </w:pPr>
    </w:p>
    <w:p w14:paraId="07E7E60B" w14:textId="77777777" w:rsidR="00C803B2" w:rsidRPr="00902FB2" w:rsidRDefault="00C803B2" w:rsidP="00DD206B">
      <w:pPr>
        <w:pStyle w:val="Titre4"/>
        <w:rPr>
          <w:sz w:val="22"/>
        </w:rPr>
      </w:pPr>
      <w:r>
        <w:tab/>
      </w:r>
      <w:bookmarkStart w:id="9" w:name="_Toc190361412"/>
      <w:r>
        <w:t>Evaluation de la menace liée à la cybercriminalité</w:t>
      </w:r>
      <w:bookmarkEnd w:id="9"/>
    </w:p>
    <w:p w14:paraId="64421AEC" w14:textId="618AE4E1" w:rsidR="00B268C1" w:rsidRPr="00B268C1" w:rsidRDefault="00B268C1" w:rsidP="00DD206B">
      <w:pPr>
        <w:tabs>
          <w:tab w:val="left" w:pos="567"/>
        </w:tabs>
        <w:spacing w:before="240" w:after="120" w:line="360" w:lineRule="auto"/>
        <w:contextualSpacing/>
        <w:jc w:val="both"/>
        <w:rPr>
          <w:rFonts w:eastAsia="Times New Roman" w:cs="Times New Roman"/>
          <w:sz w:val="24"/>
          <w:szCs w:val="24"/>
          <w:lang w:eastAsia="fr-FR"/>
        </w:rPr>
      </w:pPr>
      <w:r w:rsidRPr="00B268C1">
        <w:rPr>
          <w:rFonts w:eastAsia="Times New Roman" w:cs="Times New Roman"/>
          <w:sz w:val="24"/>
          <w:szCs w:val="24"/>
          <w:lang w:eastAsia="fr-FR"/>
        </w:rPr>
        <w:t xml:space="preserve">L’Évaluation Nationale des Risques (ENR) de 2019 avait déjà identifié la cybercriminalité comme une menace extérieure pour la Côte d’Ivoire. Les données récentes confirment </w:t>
      </w:r>
      <w:r w:rsidRPr="00B268C1">
        <w:rPr>
          <w:rFonts w:eastAsia="Times New Roman" w:cs="Times New Roman"/>
          <w:sz w:val="24"/>
          <w:szCs w:val="24"/>
          <w:lang w:eastAsia="fr-FR"/>
        </w:rPr>
        <w:lastRenderedPageBreak/>
        <w:t>pleinement le caractère transfrontalier de cette infraction, notamment à travers la coopération judiciaire.</w:t>
      </w:r>
    </w:p>
    <w:p w14:paraId="10A6CA08" w14:textId="4535D817" w:rsidR="00B268C1" w:rsidRPr="00B268C1" w:rsidRDefault="00B268C1" w:rsidP="00DD206B">
      <w:pPr>
        <w:tabs>
          <w:tab w:val="left" w:pos="567"/>
        </w:tabs>
        <w:spacing w:before="240" w:after="120" w:line="360" w:lineRule="auto"/>
        <w:contextualSpacing/>
        <w:jc w:val="both"/>
        <w:rPr>
          <w:rFonts w:eastAsia="Times New Roman" w:cs="Times New Roman"/>
          <w:sz w:val="24"/>
          <w:szCs w:val="24"/>
          <w:lang w:eastAsia="fr-FR"/>
        </w:rPr>
      </w:pPr>
      <w:r w:rsidRPr="00B268C1">
        <w:rPr>
          <w:rFonts w:eastAsia="Times New Roman" w:cs="Times New Roman"/>
          <w:sz w:val="24"/>
          <w:szCs w:val="24"/>
          <w:lang w:eastAsia="fr-FR"/>
        </w:rPr>
        <w:t>Entre 2022 et 2024, la DACP a reçu environ 43 demandes d’entraide judiciaire relatives à la cybercriminalité, soit 46,23 % de l’ensemble des requêtes enregistrées. En 2024, elle en a transmis 6 sur un total de 17, représentant 35,29 %.</w:t>
      </w:r>
    </w:p>
    <w:p w14:paraId="6D53F2E6" w14:textId="59108ECE" w:rsidR="00B268C1" w:rsidRPr="00B268C1" w:rsidRDefault="00B268C1" w:rsidP="00DD206B">
      <w:pPr>
        <w:tabs>
          <w:tab w:val="left" w:pos="567"/>
        </w:tabs>
        <w:spacing w:before="240" w:after="120" w:line="360" w:lineRule="auto"/>
        <w:contextualSpacing/>
        <w:jc w:val="both"/>
        <w:rPr>
          <w:rFonts w:eastAsia="Times New Roman" w:cs="Times New Roman"/>
          <w:sz w:val="24"/>
          <w:szCs w:val="24"/>
          <w:lang w:eastAsia="fr-FR"/>
        </w:rPr>
      </w:pPr>
      <w:r w:rsidRPr="00B268C1">
        <w:rPr>
          <w:rFonts w:eastAsia="Times New Roman" w:cs="Times New Roman"/>
          <w:sz w:val="24"/>
          <w:szCs w:val="24"/>
          <w:lang w:eastAsia="fr-FR"/>
        </w:rPr>
        <w:t>Le PPEF, pour sa part, a émis plusieurs commissions rogatoires, dont 2 en 2024, et reçu des demandes de coopération de la Belgique et de la France. Au cours de la période allant du 1er avril au 30 juin 2025, 13 nouvelles affaires de blanchiment de capitaux liées à la cybercriminalité ont été ouvertes par le PPEF, impliquant 38 personnes physiques. La majorité de ces procédures ont été initiées sur la base de l’exploitation et de l’exécution de demandes d’entraide judiciaire.</w:t>
      </w:r>
    </w:p>
    <w:p w14:paraId="623868BE" w14:textId="1438E5F7" w:rsidR="00B268C1" w:rsidRPr="00B268C1" w:rsidRDefault="00B268C1" w:rsidP="00DD206B">
      <w:pPr>
        <w:tabs>
          <w:tab w:val="left" w:pos="567"/>
        </w:tabs>
        <w:spacing w:before="240" w:after="120" w:line="360" w:lineRule="auto"/>
        <w:contextualSpacing/>
        <w:jc w:val="both"/>
        <w:rPr>
          <w:rFonts w:eastAsia="Times New Roman" w:cs="Times New Roman"/>
          <w:sz w:val="24"/>
          <w:szCs w:val="24"/>
          <w:lang w:eastAsia="fr-FR"/>
        </w:rPr>
      </w:pPr>
      <w:r w:rsidRPr="00B268C1">
        <w:rPr>
          <w:rFonts w:eastAsia="Times New Roman" w:cs="Times New Roman"/>
          <w:sz w:val="24"/>
          <w:szCs w:val="24"/>
          <w:lang w:eastAsia="fr-FR"/>
        </w:rPr>
        <w:t>La DITT a, de son côté, transmis 1 053 demandes à INTERPOL ainsi que 97 demandes de coopération informelle à ses homologues étrangers entre septembre 2024 et février 2025.</w:t>
      </w:r>
    </w:p>
    <w:p w14:paraId="7717FA53" w14:textId="6A7CFD48" w:rsidR="00B268C1" w:rsidRPr="00B268C1" w:rsidRDefault="00B268C1" w:rsidP="00DD206B">
      <w:pPr>
        <w:tabs>
          <w:tab w:val="left" w:pos="567"/>
        </w:tabs>
        <w:spacing w:before="240" w:after="120" w:line="360" w:lineRule="auto"/>
        <w:contextualSpacing/>
        <w:jc w:val="both"/>
        <w:rPr>
          <w:rFonts w:eastAsia="Times New Roman" w:cs="Times New Roman"/>
          <w:sz w:val="24"/>
          <w:szCs w:val="24"/>
          <w:lang w:eastAsia="fr-FR"/>
        </w:rPr>
      </w:pPr>
      <w:r w:rsidRPr="00B268C1">
        <w:rPr>
          <w:rFonts w:eastAsia="Times New Roman" w:cs="Times New Roman"/>
          <w:sz w:val="24"/>
          <w:szCs w:val="24"/>
          <w:lang w:eastAsia="fr-FR"/>
        </w:rPr>
        <w:t>Selon les demandes d’entraide formelles reçues par les autorités compétentes ivoiriennes, les principaux États requérants sont :</w:t>
      </w:r>
    </w:p>
    <w:p w14:paraId="735AE5E1" w14:textId="43349FB8" w:rsidR="00B268C1" w:rsidRPr="00B268C1" w:rsidRDefault="00B268C1" w:rsidP="00DD206B">
      <w:pPr>
        <w:pStyle w:val="Paragraphedeliste"/>
        <w:numPr>
          <w:ilvl w:val="0"/>
          <w:numId w:val="10"/>
        </w:numPr>
        <w:tabs>
          <w:tab w:val="left" w:pos="567"/>
        </w:tabs>
        <w:spacing w:before="240" w:after="120" w:line="360" w:lineRule="auto"/>
        <w:jc w:val="both"/>
        <w:rPr>
          <w:rFonts w:eastAsia="Times New Roman" w:cs="Times New Roman"/>
          <w:sz w:val="24"/>
          <w:szCs w:val="24"/>
          <w:lang w:eastAsia="fr-FR"/>
        </w:rPr>
      </w:pPr>
      <w:proofErr w:type="gramStart"/>
      <w:r w:rsidRPr="00B268C1">
        <w:rPr>
          <w:rFonts w:eastAsia="Times New Roman" w:cs="Times New Roman"/>
          <w:sz w:val="24"/>
          <w:szCs w:val="24"/>
          <w:lang w:eastAsia="fr-FR"/>
        </w:rPr>
        <w:t>pour</w:t>
      </w:r>
      <w:proofErr w:type="gramEnd"/>
      <w:r w:rsidRPr="00B268C1">
        <w:rPr>
          <w:rFonts w:eastAsia="Times New Roman" w:cs="Times New Roman"/>
          <w:sz w:val="24"/>
          <w:szCs w:val="24"/>
          <w:lang w:eastAsia="fr-FR"/>
        </w:rPr>
        <w:t xml:space="preserve"> l’Europe : la France, la Belgique, la Suisse, la Pologne et l’Espagne ;</w:t>
      </w:r>
    </w:p>
    <w:p w14:paraId="6E446B07" w14:textId="7E2D130D" w:rsidR="00B268C1" w:rsidRPr="00B268C1" w:rsidRDefault="00B268C1" w:rsidP="00DD206B">
      <w:pPr>
        <w:pStyle w:val="Paragraphedeliste"/>
        <w:numPr>
          <w:ilvl w:val="0"/>
          <w:numId w:val="10"/>
        </w:numPr>
        <w:tabs>
          <w:tab w:val="left" w:pos="567"/>
        </w:tabs>
        <w:spacing w:before="240" w:after="120" w:line="360" w:lineRule="auto"/>
        <w:jc w:val="both"/>
        <w:rPr>
          <w:rFonts w:eastAsia="Times New Roman" w:cs="Times New Roman"/>
          <w:sz w:val="24"/>
          <w:szCs w:val="24"/>
          <w:lang w:eastAsia="fr-FR"/>
        </w:rPr>
      </w:pPr>
      <w:proofErr w:type="gramStart"/>
      <w:r w:rsidRPr="00B268C1">
        <w:rPr>
          <w:rFonts w:eastAsia="Times New Roman" w:cs="Times New Roman"/>
          <w:sz w:val="24"/>
          <w:szCs w:val="24"/>
          <w:lang w:eastAsia="fr-FR"/>
        </w:rPr>
        <w:t>pour</w:t>
      </w:r>
      <w:proofErr w:type="gramEnd"/>
      <w:r w:rsidRPr="00B268C1">
        <w:rPr>
          <w:rFonts w:eastAsia="Times New Roman" w:cs="Times New Roman"/>
          <w:sz w:val="24"/>
          <w:szCs w:val="24"/>
          <w:lang w:eastAsia="fr-FR"/>
        </w:rPr>
        <w:t xml:space="preserve"> l’Afrique de l’Ouest : le Burkina-Faso.</w:t>
      </w:r>
    </w:p>
    <w:p w14:paraId="6BCF34A1" w14:textId="2240E35E" w:rsidR="00B268C1" w:rsidRPr="00B268C1" w:rsidRDefault="00B268C1" w:rsidP="00DD206B">
      <w:pPr>
        <w:tabs>
          <w:tab w:val="left" w:pos="567"/>
        </w:tabs>
        <w:spacing w:before="240" w:after="120" w:line="360" w:lineRule="auto"/>
        <w:contextualSpacing/>
        <w:jc w:val="both"/>
        <w:rPr>
          <w:rFonts w:eastAsia="Times New Roman" w:cs="Times New Roman"/>
          <w:sz w:val="24"/>
          <w:szCs w:val="24"/>
          <w:lang w:eastAsia="fr-FR"/>
        </w:rPr>
      </w:pPr>
      <w:r w:rsidRPr="00B268C1">
        <w:rPr>
          <w:rFonts w:eastAsia="Times New Roman" w:cs="Times New Roman"/>
          <w:sz w:val="24"/>
          <w:szCs w:val="24"/>
          <w:lang w:eastAsia="fr-FR"/>
        </w:rPr>
        <w:t>En ce qui concerne les demandes d’entraide transmises, les principaux États requis sont la France, le Mali, la Guinée, le Maroc, le Togo et le Cameroun.</w:t>
      </w:r>
    </w:p>
    <w:p w14:paraId="61A39839" w14:textId="7E0456AB" w:rsidR="00B268C1" w:rsidRPr="00B268C1" w:rsidRDefault="00B268C1" w:rsidP="00AF0706">
      <w:pPr>
        <w:tabs>
          <w:tab w:val="left" w:pos="567"/>
        </w:tabs>
        <w:spacing w:before="240" w:after="120" w:line="360" w:lineRule="auto"/>
        <w:contextualSpacing/>
        <w:jc w:val="both"/>
        <w:rPr>
          <w:rFonts w:eastAsia="Times New Roman" w:cs="Times New Roman"/>
          <w:sz w:val="24"/>
          <w:szCs w:val="24"/>
          <w:lang w:eastAsia="fr-FR"/>
        </w:rPr>
      </w:pPr>
      <w:r w:rsidRPr="00B268C1">
        <w:rPr>
          <w:rFonts w:eastAsia="Times New Roman" w:cs="Times New Roman"/>
          <w:sz w:val="24"/>
          <w:szCs w:val="24"/>
          <w:lang w:eastAsia="fr-FR"/>
        </w:rPr>
        <w:t>La cybercriminalité connaît une progression constante en Côte d’Ivoire, alimentée par une sophistication accrue des méthodes d’attaque. Depuis 2021, la P</w:t>
      </w:r>
      <w:r w:rsidR="00AB4DF0">
        <w:rPr>
          <w:rFonts w:eastAsia="Times New Roman" w:cs="Times New Roman"/>
          <w:sz w:val="24"/>
          <w:szCs w:val="24"/>
          <w:lang w:eastAsia="fr-FR"/>
        </w:rPr>
        <w:t xml:space="preserve">lateforme de </w:t>
      </w:r>
      <w:r w:rsidRPr="00B268C1">
        <w:rPr>
          <w:rFonts w:eastAsia="Times New Roman" w:cs="Times New Roman"/>
          <w:sz w:val="24"/>
          <w:szCs w:val="24"/>
          <w:lang w:eastAsia="fr-FR"/>
        </w:rPr>
        <w:t>L</w:t>
      </w:r>
      <w:r w:rsidR="00AB4DF0">
        <w:rPr>
          <w:rFonts w:eastAsia="Times New Roman" w:cs="Times New Roman"/>
          <w:sz w:val="24"/>
          <w:szCs w:val="24"/>
          <w:lang w:eastAsia="fr-FR"/>
        </w:rPr>
        <w:t xml:space="preserve">utte </w:t>
      </w:r>
      <w:r w:rsidRPr="00B268C1">
        <w:rPr>
          <w:rFonts w:eastAsia="Times New Roman" w:cs="Times New Roman"/>
          <w:sz w:val="24"/>
          <w:szCs w:val="24"/>
          <w:lang w:eastAsia="fr-FR"/>
        </w:rPr>
        <w:t>C</w:t>
      </w:r>
      <w:r w:rsidR="00AB4DF0">
        <w:rPr>
          <w:rFonts w:eastAsia="Times New Roman" w:cs="Times New Roman"/>
          <w:sz w:val="24"/>
          <w:szCs w:val="24"/>
          <w:lang w:eastAsia="fr-FR"/>
        </w:rPr>
        <w:t xml:space="preserve">ontre la </w:t>
      </w:r>
      <w:r w:rsidRPr="00B268C1">
        <w:rPr>
          <w:rFonts w:eastAsia="Times New Roman" w:cs="Times New Roman"/>
          <w:sz w:val="24"/>
          <w:szCs w:val="24"/>
          <w:lang w:eastAsia="fr-FR"/>
        </w:rPr>
        <w:t>C</w:t>
      </w:r>
      <w:r w:rsidR="00AB4DF0">
        <w:rPr>
          <w:rFonts w:eastAsia="Times New Roman" w:cs="Times New Roman"/>
          <w:sz w:val="24"/>
          <w:szCs w:val="24"/>
          <w:lang w:eastAsia="fr-FR"/>
        </w:rPr>
        <w:t>ybercriminalité (PLCC)</w:t>
      </w:r>
      <w:r w:rsidRPr="00B268C1">
        <w:rPr>
          <w:rFonts w:eastAsia="Times New Roman" w:cs="Times New Roman"/>
          <w:sz w:val="24"/>
          <w:szCs w:val="24"/>
          <w:lang w:eastAsia="fr-FR"/>
        </w:rPr>
        <w:t xml:space="preserve"> a traité entre 4 500 et 5 000 plaintes par an. Ce volume a connu une hausse significative en 2024 avec plus de 8 000 plaintes, illustrant l’ampleur croissante du phénomène. Les actions de répression ont permis la suppression de 280 vidéos compromettantes et la fermeture de 1 600 comptes malveillants utilisés pour la fraude et l’escroquerie en ligne.</w:t>
      </w:r>
    </w:p>
    <w:p w14:paraId="774F99B1" w14:textId="503C127B" w:rsidR="00B268C1" w:rsidRPr="00B268C1" w:rsidRDefault="00B268C1" w:rsidP="00DD206B">
      <w:pPr>
        <w:tabs>
          <w:tab w:val="left" w:pos="567"/>
        </w:tabs>
        <w:spacing w:before="240" w:after="120" w:line="360" w:lineRule="auto"/>
        <w:contextualSpacing/>
        <w:jc w:val="both"/>
        <w:rPr>
          <w:rFonts w:eastAsia="Times New Roman" w:cs="Times New Roman"/>
          <w:sz w:val="24"/>
          <w:szCs w:val="24"/>
          <w:lang w:eastAsia="fr-FR"/>
        </w:rPr>
      </w:pPr>
      <w:r w:rsidRPr="00B268C1">
        <w:rPr>
          <w:rFonts w:eastAsia="Times New Roman" w:cs="Times New Roman"/>
          <w:sz w:val="24"/>
          <w:szCs w:val="24"/>
          <w:lang w:eastAsia="fr-FR"/>
        </w:rPr>
        <w:t xml:space="preserve">Les formes d’attaques sont variées et sophistiquées, allant des escroqueries par hameçonnage (phishing) aux attaques par rançongiciels (ransomwares) qui paralysent les systèmes informatiques en échange du paiement d’une rançon. La DITT a ainsi recensé 79 dossiers d’arnaques en ligne visant des victimes issues de plusieurs pays, notamment le Canada, la France, la Belgique, les États-Unis, l’Espagne et la Guinée, pour un préjudice global estimé à 448 068 083 F CFA (environ 708 588 USD). Les cybercriminels utilisent des serveurs proxy, </w:t>
      </w:r>
      <w:r w:rsidRPr="00B268C1">
        <w:rPr>
          <w:rFonts w:eastAsia="Times New Roman" w:cs="Times New Roman"/>
          <w:sz w:val="24"/>
          <w:szCs w:val="24"/>
          <w:lang w:eastAsia="fr-FR"/>
        </w:rPr>
        <w:lastRenderedPageBreak/>
        <w:t>des logiciels de cryptage et des plateformes de communication anonymes pour dissimuler leur identité et leur localisation.</w:t>
      </w:r>
    </w:p>
    <w:p w14:paraId="6E91D882" w14:textId="2C26313F" w:rsidR="00B268C1" w:rsidRPr="00B268C1" w:rsidRDefault="00B268C1" w:rsidP="00DD206B">
      <w:pPr>
        <w:tabs>
          <w:tab w:val="left" w:pos="567"/>
        </w:tabs>
        <w:spacing w:before="240" w:after="120" w:line="360" w:lineRule="auto"/>
        <w:contextualSpacing/>
        <w:jc w:val="both"/>
        <w:rPr>
          <w:rFonts w:eastAsia="Times New Roman" w:cs="Times New Roman"/>
          <w:sz w:val="24"/>
          <w:szCs w:val="24"/>
          <w:lang w:eastAsia="fr-FR"/>
        </w:rPr>
      </w:pPr>
      <w:r w:rsidRPr="00B268C1">
        <w:rPr>
          <w:rFonts w:eastAsia="Times New Roman" w:cs="Times New Roman"/>
          <w:sz w:val="24"/>
          <w:szCs w:val="24"/>
          <w:lang w:eastAsia="fr-FR"/>
        </w:rPr>
        <w:t xml:space="preserve">En ce qui concerne les cybercriminels ivoiriens, ils ciblent en majorité des victimes résidant à l’étranger, particulièrement en Europe (France, Italie, Allemagne, Royaume-Uni) et en Amérique du Nord (États-Unis, Canada), considérées comme des cibles plus rentables et moins sensibilisées aux stratagèmes frauduleux. Les plateformes de crypto-monnaies constituent également des cibles privilégiées, exploitées pour détourner des actifs numériques. Les flux financiers illicites générés par ces activités transitent principalement par l’Europe, l’Amérique du Nord et l’Afrique, avec un usage récurrent de comptes bancaires étrangers et de services de transfert d’argent rapide comme Western Union, RIA et </w:t>
      </w:r>
      <w:proofErr w:type="spellStart"/>
      <w:r w:rsidRPr="00B268C1">
        <w:rPr>
          <w:rFonts w:eastAsia="Times New Roman" w:cs="Times New Roman"/>
          <w:sz w:val="24"/>
          <w:szCs w:val="24"/>
          <w:lang w:eastAsia="fr-FR"/>
        </w:rPr>
        <w:t>MoneyGram</w:t>
      </w:r>
      <w:proofErr w:type="spellEnd"/>
      <w:r w:rsidRPr="00B268C1">
        <w:rPr>
          <w:rFonts w:eastAsia="Times New Roman" w:cs="Times New Roman"/>
          <w:sz w:val="24"/>
          <w:szCs w:val="24"/>
          <w:lang w:eastAsia="fr-FR"/>
        </w:rPr>
        <w:t>.</w:t>
      </w:r>
    </w:p>
    <w:p w14:paraId="6A0A589B" w14:textId="65DAF47E" w:rsidR="00B268C1" w:rsidRPr="00B268C1" w:rsidRDefault="00B268C1" w:rsidP="00DD206B">
      <w:pPr>
        <w:tabs>
          <w:tab w:val="left" w:pos="567"/>
        </w:tabs>
        <w:spacing w:before="240" w:after="120" w:line="360" w:lineRule="auto"/>
        <w:contextualSpacing/>
        <w:jc w:val="both"/>
        <w:rPr>
          <w:rFonts w:eastAsia="Times New Roman" w:cs="Times New Roman"/>
          <w:sz w:val="24"/>
          <w:szCs w:val="24"/>
          <w:lang w:eastAsia="fr-FR"/>
        </w:rPr>
      </w:pPr>
      <w:r w:rsidRPr="00B268C1">
        <w:rPr>
          <w:rFonts w:eastAsia="Times New Roman" w:cs="Times New Roman"/>
          <w:sz w:val="24"/>
          <w:szCs w:val="24"/>
          <w:lang w:eastAsia="fr-FR"/>
        </w:rPr>
        <w:t xml:space="preserve">L’impact économique est considérable. Entre 2020 et 2022, le préjudice total attribué aux cybercriminels opérant depuis la Côte d’Ivoire est estimé à 13 865 723 745 F CFA (environ 23 445 691 USD). Ce phénomène alimente par ailleurs d’autres formes de criminalité organisée, en particulier le </w:t>
      </w:r>
      <w:r w:rsidR="00AB4DF0">
        <w:rPr>
          <w:rFonts w:eastAsia="Times New Roman" w:cs="Times New Roman"/>
          <w:sz w:val="24"/>
          <w:szCs w:val="24"/>
          <w:lang w:eastAsia="fr-FR"/>
        </w:rPr>
        <w:t>BC</w:t>
      </w:r>
      <w:r w:rsidRPr="00B268C1">
        <w:rPr>
          <w:rFonts w:eastAsia="Times New Roman" w:cs="Times New Roman"/>
          <w:sz w:val="24"/>
          <w:szCs w:val="24"/>
          <w:lang w:eastAsia="fr-FR"/>
        </w:rPr>
        <w:t>, et fragilise la confiance dans les systèmes financiers et numériques.</w:t>
      </w:r>
    </w:p>
    <w:p w14:paraId="02E1B0FB" w14:textId="32C86B37" w:rsidR="00C803B2" w:rsidRDefault="00B268C1" w:rsidP="00DD206B">
      <w:pPr>
        <w:tabs>
          <w:tab w:val="left" w:pos="567"/>
        </w:tabs>
        <w:spacing w:before="240" w:after="120" w:line="360" w:lineRule="auto"/>
        <w:contextualSpacing/>
        <w:jc w:val="both"/>
        <w:rPr>
          <w:rFonts w:eastAsia="Times New Roman" w:cs="Times New Roman"/>
          <w:sz w:val="24"/>
          <w:szCs w:val="24"/>
          <w:lang w:eastAsia="fr-FR"/>
        </w:rPr>
      </w:pPr>
      <w:r w:rsidRPr="000E6CAC">
        <w:rPr>
          <w:rFonts w:eastAsia="Times New Roman" w:cs="Times New Roman"/>
          <w:sz w:val="24"/>
          <w:szCs w:val="24"/>
          <w:lang w:eastAsia="fr-FR"/>
        </w:rPr>
        <w:t xml:space="preserve">Compte tenu de l’augmentation constante des affaires, du volume élevé de requêtes internationales, de la sophistication des techniques criminelles, de l’importance des pertes financières et de l’implication de réseaux transnationaux organisés, le niveau de la menace extérieure liée à la cybercriminalité en Côte d’Ivoire est </w:t>
      </w:r>
      <w:r w:rsidRPr="000E6CAC">
        <w:rPr>
          <w:rFonts w:eastAsia="Times New Roman" w:cs="Times New Roman"/>
          <w:b/>
          <w:bCs/>
          <w:sz w:val="24"/>
          <w:szCs w:val="24"/>
          <w:lang w:eastAsia="fr-FR"/>
        </w:rPr>
        <w:t>« très élevé »</w:t>
      </w:r>
      <w:r w:rsidRPr="000E6CAC">
        <w:rPr>
          <w:rFonts w:eastAsia="Times New Roman" w:cs="Times New Roman"/>
          <w:sz w:val="24"/>
          <w:szCs w:val="24"/>
          <w:lang w:eastAsia="fr-FR"/>
        </w:rPr>
        <w:t>.</w:t>
      </w:r>
    </w:p>
    <w:p w14:paraId="7D3516CE" w14:textId="63F3DDC2" w:rsidR="00DD206B" w:rsidRDefault="00DD206B" w:rsidP="00DD206B">
      <w:pPr>
        <w:tabs>
          <w:tab w:val="left" w:pos="567"/>
        </w:tabs>
        <w:spacing w:before="240" w:after="120" w:line="360" w:lineRule="auto"/>
        <w:contextualSpacing/>
        <w:jc w:val="both"/>
        <w:rPr>
          <w:rFonts w:eastAsia="Times New Roman" w:cs="Times New Roman"/>
          <w:sz w:val="24"/>
          <w:szCs w:val="24"/>
          <w:lang w:eastAsia="fr-FR"/>
        </w:rPr>
      </w:pPr>
    </w:p>
    <w:tbl>
      <w:tblPr>
        <w:tblStyle w:val="TableNormal"/>
        <w:tblW w:w="90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E8E8E8" w:themeFill="background2"/>
        <w:tblLayout w:type="fixed"/>
        <w:tblLook w:val="01E0" w:firstRow="1" w:lastRow="1" w:firstColumn="1" w:lastColumn="1" w:noHBand="0" w:noVBand="0"/>
      </w:tblPr>
      <w:tblGrid>
        <w:gridCol w:w="9093"/>
      </w:tblGrid>
      <w:tr w:rsidR="00DD206B" w:rsidRPr="00A86A24" w14:paraId="4FD2F4D7" w14:textId="77777777" w:rsidTr="00AC5A9F">
        <w:trPr>
          <w:trHeight w:val="520"/>
        </w:trPr>
        <w:tc>
          <w:tcPr>
            <w:tcW w:w="9093" w:type="dxa"/>
            <w:shd w:val="clear" w:color="auto" w:fill="E8E8E8" w:themeFill="background2"/>
          </w:tcPr>
          <w:p w14:paraId="0B9957E0" w14:textId="60B448A3" w:rsidR="00DD206B" w:rsidRPr="00A86A24" w:rsidRDefault="00DD206B" w:rsidP="00DD206B">
            <w:pPr>
              <w:pStyle w:val="TableParagraph"/>
              <w:spacing w:before="145" w:line="360" w:lineRule="auto"/>
              <w:ind w:left="112"/>
              <w:jc w:val="both"/>
              <w:rPr>
                <w:b/>
                <w:u w:val="single"/>
                <w:lang w:val="fr-CI"/>
              </w:rPr>
            </w:pPr>
            <w:r w:rsidRPr="00A86A24">
              <w:rPr>
                <w:b/>
                <w:u w:val="single"/>
                <w:lang w:val="fr-FR"/>
              </w:rPr>
              <w:t xml:space="preserve">Cas </w:t>
            </w:r>
            <w:r w:rsidR="0046548A">
              <w:rPr>
                <w:b/>
                <w:u w:val="single"/>
                <w:lang w:val="fr-FR"/>
              </w:rPr>
              <w:t>7</w:t>
            </w:r>
            <w:r w:rsidRPr="00A86A24">
              <w:rPr>
                <w:b/>
                <w:u w:val="single"/>
                <w:lang w:val="fr-CI"/>
              </w:rPr>
              <w:t xml:space="preserve"> : Blanchiment de capitaux et cybercriminalité</w:t>
            </w:r>
          </w:p>
          <w:p w14:paraId="14CCEDDE" w14:textId="77777777" w:rsidR="00DD206B" w:rsidRPr="00A86A24" w:rsidRDefault="00DD206B" w:rsidP="00DD206B">
            <w:pPr>
              <w:pStyle w:val="TableParagraph"/>
              <w:spacing w:before="144" w:line="360" w:lineRule="auto"/>
              <w:ind w:left="95"/>
              <w:jc w:val="both"/>
              <w:rPr>
                <w:lang w:val="fr-CI"/>
              </w:rPr>
            </w:pPr>
            <w:r w:rsidRPr="00A86A24">
              <w:rPr>
                <w:lang w:val="fr-CI"/>
              </w:rPr>
              <w:t>Dans le courant de l'année 2024, un gang de cybercriminels, mené par X, surnommé « class leader » et réputé être le bénéficiaire de fonds issus d'actes criminels originaires d'Europe, a réussi à s'introduire dans le mobile money</w:t>
            </w:r>
          </w:p>
          <w:p w14:paraId="14CE07B0" w14:textId="77777777" w:rsidR="00DD206B" w:rsidRPr="00A86A24" w:rsidRDefault="00DD206B" w:rsidP="00DD206B">
            <w:pPr>
              <w:pStyle w:val="TableParagraph"/>
              <w:spacing w:line="360" w:lineRule="auto"/>
              <w:ind w:left="95"/>
              <w:jc w:val="both"/>
              <w:rPr>
                <w:lang w:val="fr-CI"/>
              </w:rPr>
            </w:pPr>
            <w:proofErr w:type="gramStart"/>
            <w:r w:rsidRPr="00A86A24">
              <w:rPr>
                <w:lang w:val="fr-CI"/>
              </w:rPr>
              <w:t>d'une</w:t>
            </w:r>
            <w:proofErr w:type="gramEnd"/>
            <w:r w:rsidRPr="00A86A24">
              <w:rPr>
                <w:lang w:val="fr-CI"/>
              </w:rPr>
              <w:t xml:space="preserve"> société de téléphonie mobile basée dans un pays d'Afrique de l'Ouest, X. Grâce à cette intrusion frauduleuse, le gang a réussi à transférer des fonds sur plusieurs comptes d'argent mobile de leurs correspondants,</w:t>
            </w:r>
          </w:p>
          <w:p w14:paraId="3F099A98" w14:textId="77777777" w:rsidR="00DD206B" w:rsidRPr="00A86A24" w:rsidRDefault="00DD206B" w:rsidP="00DD206B">
            <w:pPr>
              <w:pStyle w:val="TableParagraph"/>
              <w:spacing w:line="360" w:lineRule="auto"/>
              <w:ind w:left="95"/>
              <w:jc w:val="both"/>
              <w:rPr>
                <w:lang w:val="fr-CI"/>
              </w:rPr>
            </w:pPr>
          </w:p>
          <w:p w14:paraId="6E7C80C6" w14:textId="77777777" w:rsidR="00DD206B" w:rsidRPr="00A86A24" w:rsidRDefault="00DD206B" w:rsidP="00DD206B">
            <w:pPr>
              <w:pStyle w:val="TableParagraph"/>
              <w:spacing w:before="24" w:line="360" w:lineRule="auto"/>
              <w:ind w:left="95" w:right="90"/>
              <w:jc w:val="both"/>
              <w:rPr>
                <w:lang w:val="fr-CI"/>
              </w:rPr>
            </w:pPr>
            <w:proofErr w:type="gramStart"/>
            <w:r w:rsidRPr="00A86A24">
              <w:rPr>
                <w:lang w:val="fr-CI"/>
              </w:rPr>
              <w:t>y</w:t>
            </w:r>
            <w:proofErr w:type="gramEnd"/>
            <w:r w:rsidRPr="00A86A24">
              <w:rPr>
                <w:lang w:val="fr-CI"/>
              </w:rPr>
              <w:t xml:space="preserve"> compris certains de Côte d'Ivoire, qui ont ensuite systématiquement retiré les fonds et les ont donnés aux membres du gang en échange d'une commission de 10 à 20 %.</w:t>
            </w:r>
          </w:p>
          <w:p w14:paraId="396517AD" w14:textId="77777777" w:rsidR="00DD206B" w:rsidRPr="00A86A24" w:rsidRDefault="00DD206B" w:rsidP="00DD206B">
            <w:pPr>
              <w:pStyle w:val="TableParagraph"/>
              <w:spacing w:before="118" w:line="360" w:lineRule="auto"/>
              <w:ind w:left="95" w:right="86"/>
              <w:jc w:val="both"/>
              <w:rPr>
                <w:lang w:val="fr-CI"/>
              </w:rPr>
            </w:pPr>
            <w:r w:rsidRPr="00A86A24">
              <w:rPr>
                <w:lang w:val="fr-CI"/>
              </w:rPr>
              <w:t>Compte tenu de la nature transnationale des événements, une demande de coopération internationale informelle a été adressée au Directeur du Bureau central national d'Interpol en vue de retrouver et d'arrêter toutes les personnes impliquées.</w:t>
            </w:r>
          </w:p>
          <w:p w14:paraId="764A297A" w14:textId="77777777" w:rsidR="00DD206B" w:rsidRPr="00A86A24" w:rsidRDefault="00DD206B" w:rsidP="00DD206B">
            <w:pPr>
              <w:pStyle w:val="TableParagraph"/>
              <w:spacing w:before="122" w:line="360" w:lineRule="auto"/>
              <w:ind w:left="95" w:right="78"/>
              <w:jc w:val="both"/>
              <w:rPr>
                <w:lang w:val="fr-CI"/>
              </w:rPr>
            </w:pPr>
            <w:r w:rsidRPr="00A86A24">
              <w:rPr>
                <w:lang w:val="fr-CI"/>
              </w:rPr>
              <w:lastRenderedPageBreak/>
              <w:t>Par ailleurs, l'enquête financière menée conjointement au niveau des sociétés de mobile money dans les deux pays a permis d'établir l'implication de plusieurs étudiants ivoiriens dans ces transferts de fonds frauduleux dont le montant total est estimé à 212 000 000 FCFA (323 170 €). Sur la base des résultats de cette enquête financière, certains suspects, localisés à Abidjan, ont été arrêtés et mis à la disposition du PPEF. Cependant, aucun bien n'a été identifié au nom de ces suspects. Cela suggère que, à ce stade de la procédure, les fonds reçus ont été blanchis par le biais d'achats de biens de consommation ou d'actifs virtuels.</w:t>
            </w:r>
          </w:p>
          <w:p w14:paraId="1626212A" w14:textId="77777777" w:rsidR="00DD206B" w:rsidRPr="00A86A24" w:rsidRDefault="00DD206B" w:rsidP="00DD206B">
            <w:pPr>
              <w:pStyle w:val="TableParagraph"/>
              <w:spacing w:before="145" w:line="360" w:lineRule="auto"/>
              <w:ind w:left="112"/>
              <w:jc w:val="both"/>
              <w:rPr>
                <w:lang w:val="fr-CI"/>
              </w:rPr>
            </w:pPr>
            <w:r w:rsidRPr="00A86A24">
              <w:rPr>
                <w:lang w:val="fr-CI"/>
              </w:rPr>
              <w:t>Par ailleurs, selon les informations reçues d'Interpol, le dénommé X alias, « chef de classe » en fuite, se trouverait dans le pays voisin L, où il est activement recherché par le BCN Interpol de ce pays, qui a reçu une demande de coopération policière de la Côte d'Ivoire.</w:t>
            </w:r>
          </w:p>
        </w:tc>
      </w:tr>
    </w:tbl>
    <w:p w14:paraId="274F4E99" w14:textId="796B42E7" w:rsidR="00C803B2" w:rsidRDefault="00C803B2" w:rsidP="00DD206B">
      <w:pPr>
        <w:tabs>
          <w:tab w:val="left" w:pos="567"/>
        </w:tabs>
        <w:spacing w:before="240" w:after="120" w:line="360" w:lineRule="auto"/>
        <w:contextualSpacing/>
        <w:jc w:val="both"/>
        <w:rPr>
          <w:rFonts w:cs="Times New Roman"/>
          <w:b/>
          <w:bCs/>
          <w:sz w:val="22"/>
          <w:szCs w:val="22"/>
        </w:rPr>
      </w:pPr>
    </w:p>
    <w:p w14:paraId="28870D04" w14:textId="60145929" w:rsidR="00C803B2" w:rsidRPr="003F1263" w:rsidRDefault="00C803B2" w:rsidP="00DD206B">
      <w:pPr>
        <w:pStyle w:val="Titre4"/>
      </w:pPr>
      <w:r>
        <w:tab/>
      </w:r>
      <w:bookmarkStart w:id="10" w:name="_Toc190361413"/>
      <w:r>
        <w:t xml:space="preserve">Evaluation </w:t>
      </w:r>
      <w:r w:rsidR="00DC52D0">
        <w:t>de la menace liée au vol de véhicules</w:t>
      </w:r>
      <w:bookmarkEnd w:id="10"/>
    </w:p>
    <w:p w14:paraId="3FF30370" w14:textId="6D7FCF60" w:rsidR="00B268C1" w:rsidRPr="00B268C1" w:rsidRDefault="00B268C1" w:rsidP="00DD206B">
      <w:pPr>
        <w:tabs>
          <w:tab w:val="left" w:pos="567"/>
        </w:tabs>
        <w:spacing w:after="120" w:line="360" w:lineRule="auto"/>
        <w:jc w:val="both"/>
        <w:rPr>
          <w:rFonts w:eastAsia="Times New Roman" w:cs="Times New Roman"/>
          <w:sz w:val="24"/>
          <w:szCs w:val="24"/>
          <w:lang w:eastAsia="fr-FR"/>
        </w:rPr>
      </w:pPr>
      <w:r w:rsidRPr="00B268C1">
        <w:rPr>
          <w:rFonts w:eastAsia="Times New Roman" w:cs="Times New Roman"/>
          <w:sz w:val="24"/>
          <w:szCs w:val="24"/>
          <w:lang w:eastAsia="fr-FR"/>
        </w:rPr>
        <w:t>L’ENR de 2019 avait déjà identifié le vol comme une menace extérieure en Côte d’Ivoire. Les données récentes, issues des demandes d’entraide judiciaire et des échanges d’informations, confirment le caractère transfrontalier de cette infraction, même si son ampleur reste modérée par rapport à d’autres menaces.</w:t>
      </w:r>
    </w:p>
    <w:p w14:paraId="362EEAA4" w14:textId="1A529737" w:rsidR="00B268C1" w:rsidRPr="00B268C1" w:rsidRDefault="00B268C1" w:rsidP="00DD206B">
      <w:pPr>
        <w:tabs>
          <w:tab w:val="left" w:pos="567"/>
        </w:tabs>
        <w:spacing w:after="120" w:line="360" w:lineRule="auto"/>
        <w:jc w:val="both"/>
        <w:rPr>
          <w:rFonts w:eastAsia="Times New Roman" w:cs="Times New Roman"/>
          <w:sz w:val="24"/>
          <w:szCs w:val="24"/>
          <w:lang w:eastAsia="fr-FR"/>
        </w:rPr>
      </w:pPr>
      <w:r w:rsidRPr="00B268C1">
        <w:rPr>
          <w:rFonts w:eastAsia="Times New Roman" w:cs="Times New Roman"/>
          <w:sz w:val="24"/>
          <w:szCs w:val="24"/>
          <w:lang w:eastAsia="fr-FR"/>
        </w:rPr>
        <w:t>En 2024, la DACP a transmis deux demandes d’entraide relatives au vol au Mali. De son côté, la CENTIF a sollicité le réseau inter-agence de recouvrement des avoirs pour l'Afrique de l'Ouest (ARINWA) pour un cas lié à cette infraction.</w:t>
      </w:r>
    </w:p>
    <w:p w14:paraId="4608B53F" w14:textId="7AD7B7C1" w:rsidR="00B268C1" w:rsidRPr="00B268C1" w:rsidRDefault="00B268C1" w:rsidP="00DD206B">
      <w:pPr>
        <w:tabs>
          <w:tab w:val="left" w:pos="567"/>
        </w:tabs>
        <w:spacing w:after="120" w:line="360" w:lineRule="auto"/>
        <w:jc w:val="both"/>
        <w:rPr>
          <w:rFonts w:eastAsia="Times New Roman" w:cs="Times New Roman"/>
          <w:sz w:val="24"/>
          <w:szCs w:val="24"/>
          <w:lang w:eastAsia="fr-FR"/>
        </w:rPr>
      </w:pPr>
      <w:r w:rsidRPr="00B268C1">
        <w:rPr>
          <w:rFonts w:eastAsia="Times New Roman" w:cs="Times New Roman"/>
          <w:sz w:val="24"/>
          <w:szCs w:val="24"/>
          <w:lang w:eastAsia="fr-FR"/>
        </w:rPr>
        <w:t>Selon INTERPOL, plus de 100 véhicules de luxe volés au Canada et dans divers pays européens ont été identifiés, révélant l’existence d’un réseau criminel actif dans la région. Près de la moitié de ces véhicules provenaient du Canada, et le partage d’informations via la base de données d’INTERPOL a permis de repérer plus de 1 500 véhicules canadiens volés dans le monde depuis février 2024. En Côte d’Ivoire, les opérations conjointes menées par INTERPOL et les autorités nationales ont permis la saisie de dizaines de véhicules haut de gamme, notamment des Range Rovers et des Mercedes, revendus à des prix inférieurs au marché, souvent à l’aide de documents falsifiés.</w:t>
      </w:r>
    </w:p>
    <w:p w14:paraId="3683D271" w14:textId="1BE275B8" w:rsidR="00B268C1" w:rsidRPr="00B268C1" w:rsidRDefault="00B268C1" w:rsidP="00DD206B">
      <w:pPr>
        <w:tabs>
          <w:tab w:val="left" w:pos="567"/>
        </w:tabs>
        <w:spacing w:after="120" w:line="360" w:lineRule="auto"/>
        <w:jc w:val="both"/>
        <w:rPr>
          <w:rFonts w:eastAsia="Times New Roman" w:cs="Times New Roman"/>
          <w:sz w:val="24"/>
          <w:szCs w:val="24"/>
          <w:lang w:eastAsia="fr-FR"/>
        </w:rPr>
      </w:pPr>
      <w:r w:rsidRPr="00B268C1">
        <w:rPr>
          <w:rFonts w:eastAsia="Times New Roman" w:cs="Times New Roman"/>
          <w:sz w:val="24"/>
          <w:szCs w:val="24"/>
          <w:lang w:eastAsia="fr-FR"/>
        </w:rPr>
        <w:t xml:space="preserve">Les enquêtes ont révélé des procédés sophistiqués visant à dissimuler l’origine frauduleuse de ces véhicules, incluant la modification des numéros de châssis et la falsification des documents administratifs. Si certains véhicules restaient sur le marché ivoirien, d’autres étaient réexportés vers des pays de la sous-région. Ce trafic s’inscrit dans un contexte criminel plus large, </w:t>
      </w:r>
      <w:r w:rsidRPr="00B268C1">
        <w:rPr>
          <w:rFonts w:eastAsia="Times New Roman" w:cs="Times New Roman"/>
          <w:sz w:val="24"/>
          <w:szCs w:val="24"/>
          <w:lang w:eastAsia="fr-FR"/>
        </w:rPr>
        <w:lastRenderedPageBreak/>
        <w:t xml:space="preserve">associant </w:t>
      </w:r>
      <w:r w:rsidR="00AB3422">
        <w:rPr>
          <w:rFonts w:eastAsia="Times New Roman" w:cs="Times New Roman"/>
          <w:sz w:val="24"/>
          <w:szCs w:val="24"/>
          <w:lang w:eastAsia="fr-FR"/>
        </w:rPr>
        <w:t>BC</w:t>
      </w:r>
      <w:r w:rsidRPr="00B268C1">
        <w:rPr>
          <w:rFonts w:eastAsia="Times New Roman" w:cs="Times New Roman"/>
          <w:sz w:val="24"/>
          <w:szCs w:val="24"/>
          <w:lang w:eastAsia="fr-FR"/>
        </w:rPr>
        <w:t>, trafic de drogues et corruption. Les ports et systèmes administratifs moins sécurisés de l’Afrique de l’Ouest en font une plaque tournante de ce commerce illégal.</w:t>
      </w:r>
    </w:p>
    <w:p w14:paraId="2D2972CA" w14:textId="4A23978C" w:rsidR="00B268C1" w:rsidRPr="00B268C1" w:rsidRDefault="00B268C1" w:rsidP="00DD206B">
      <w:pPr>
        <w:tabs>
          <w:tab w:val="left" w:pos="567"/>
        </w:tabs>
        <w:spacing w:after="120" w:line="360" w:lineRule="auto"/>
        <w:jc w:val="both"/>
        <w:rPr>
          <w:rFonts w:eastAsia="Times New Roman" w:cs="Times New Roman"/>
          <w:sz w:val="24"/>
          <w:szCs w:val="24"/>
          <w:lang w:eastAsia="fr-FR"/>
        </w:rPr>
      </w:pPr>
      <w:r w:rsidRPr="00B268C1">
        <w:rPr>
          <w:rFonts w:eastAsia="Times New Roman" w:cs="Times New Roman"/>
          <w:sz w:val="24"/>
          <w:szCs w:val="24"/>
          <w:lang w:eastAsia="fr-FR"/>
        </w:rPr>
        <w:t>En Côte d’Ivoire, la demande croissante en véhicules de luxe et la faiblesse des contrôles douaniers alimentent ce phénomène. Les véhicules volés proviennent principalement de France, d’Italie et d’Espagne, et sont écoulés sur le marché local, notamment à Abidjan.</w:t>
      </w:r>
    </w:p>
    <w:p w14:paraId="786DD6A8" w14:textId="59CAD58E" w:rsidR="00B268C1" w:rsidRPr="00B268C1" w:rsidRDefault="00B268C1" w:rsidP="00DD206B">
      <w:pPr>
        <w:tabs>
          <w:tab w:val="left" w:pos="567"/>
        </w:tabs>
        <w:spacing w:after="120" w:line="360" w:lineRule="auto"/>
        <w:jc w:val="both"/>
        <w:rPr>
          <w:rFonts w:eastAsia="Times New Roman" w:cs="Times New Roman"/>
          <w:sz w:val="24"/>
          <w:szCs w:val="24"/>
          <w:lang w:eastAsia="fr-FR"/>
        </w:rPr>
      </w:pPr>
      <w:r w:rsidRPr="00B268C1">
        <w:rPr>
          <w:rFonts w:eastAsia="Times New Roman" w:cs="Times New Roman"/>
          <w:sz w:val="24"/>
          <w:szCs w:val="24"/>
          <w:lang w:eastAsia="fr-FR"/>
        </w:rPr>
        <w:t xml:space="preserve">En collaboration avec INTERPOL et sous la coordination du Parquet du PPEF, une enquête minutieuse a permis de démanteler un réseau de receleurs de véhicules volés et de retrouver plusieurs véhicules de luxe signalés volés depuis deux pays d’Europe et un pays d’Amérique. Cette même enquête a conduit à l’ouverture de quatre procédures pour vol aggravé et </w:t>
      </w:r>
      <w:r w:rsidR="00AB3422">
        <w:rPr>
          <w:rFonts w:eastAsia="Times New Roman" w:cs="Times New Roman"/>
          <w:sz w:val="24"/>
          <w:szCs w:val="24"/>
          <w:lang w:eastAsia="fr-FR"/>
        </w:rPr>
        <w:t>BC</w:t>
      </w:r>
      <w:r w:rsidRPr="00B268C1">
        <w:rPr>
          <w:rFonts w:eastAsia="Times New Roman" w:cs="Times New Roman"/>
          <w:sz w:val="24"/>
          <w:szCs w:val="24"/>
          <w:lang w:eastAsia="fr-FR"/>
        </w:rPr>
        <w:t>, portant sur un préjudice estimé à plus de 700 000 000 F CFA (soit environ 1 068 702 euros).</w:t>
      </w:r>
    </w:p>
    <w:p w14:paraId="73475E3F" w14:textId="22D48680" w:rsidR="00B268C1" w:rsidRPr="00B268C1" w:rsidRDefault="00B268C1" w:rsidP="00DD206B">
      <w:pPr>
        <w:tabs>
          <w:tab w:val="left" w:pos="567"/>
        </w:tabs>
        <w:spacing w:after="120" w:line="360" w:lineRule="auto"/>
        <w:jc w:val="both"/>
        <w:rPr>
          <w:rFonts w:eastAsia="Times New Roman" w:cs="Times New Roman"/>
          <w:sz w:val="24"/>
          <w:szCs w:val="24"/>
          <w:lang w:eastAsia="fr-FR"/>
        </w:rPr>
      </w:pPr>
      <w:r w:rsidRPr="00B268C1">
        <w:rPr>
          <w:rFonts w:eastAsia="Times New Roman" w:cs="Times New Roman"/>
          <w:sz w:val="24"/>
          <w:szCs w:val="24"/>
          <w:lang w:eastAsia="fr-FR"/>
        </w:rPr>
        <w:t>Bien que la menace liée au vol de véhicules soit réelle et transfrontalière, elle demeure moins répandue que d’autres infractions sous-jacentes telles que le trafic de stupéfiants ou la cybercriminalité. Les volumes identifiés, bien qu’importants, ne présentent pas encore un caractère de massification à l’échelle nationale.</w:t>
      </w:r>
    </w:p>
    <w:p w14:paraId="0513E018" w14:textId="13F78915" w:rsidR="00B268C1" w:rsidRDefault="00B268C1" w:rsidP="00DD206B">
      <w:pPr>
        <w:tabs>
          <w:tab w:val="left" w:pos="567"/>
        </w:tabs>
        <w:spacing w:after="120" w:line="360" w:lineRule="auto"/>
        <w:jc w:val="both"/>
        <w:rPr>
          <w:rFonts w:eastAsia="Times New Roman" w:cs="Times New Roman"/>
          <w:sz w:val="24"/>
          <w:szCs w:val="24"/>
          <w:lang w:eastAsia="fr-FR"/>
        </w:rPr>
      </w:pPr>
      <w:r w:rsidRPr="000E6CAC">
        <w:rPr>
          <w:rFonts w:eastAsia="Times New Roman" w:cs="Times New Roman"/>
          <w:sz w:val="24"/>
          <w:szCs w:val="24"/>
          <w:lang w:eastAsia="fr-FR"/>
        </w:rPr>
        <w:t xml:space="preserve">Au regard des éléments disponibles, du caractère ponctuel mais structuré des affaires recensées, ainsi que de l’ampleur financière limitée par rapport à d’autres menaces, le niveau de la menace extérieure liée au vol de véhicules en Côte d’Ivoire est </w:t>
      </w:r>
      <w:r w:rsidRPr="000E6CAC">
        <w:rPr>
          <w:rFonts w:eastAsia="Times New Roman" w:cs="Times New Roman"/>
          <w:b/>
          <w:bCs/>
          <w:sz w:val="24"/>
          <w:szCs w:val="24"/>
          <w:lang w:eastAsia="fr-FR"/>
        </w:rPr>
        <w:t>« moyen »</w:t>
      </w:r>
      <w:r w:rsidRPr="000E6CAC">
        <w:rPr>
          <w:rFonts w:eastAsia="Times New Roman" w:cs="Times New Roman"/>
          <w:sz w:val="24"/>
          <w:szCs w:val="24"/>
          <w:lang w:eastAsia="fr-FR"/>
        </w:rPr>
        <w:t>.</w:t>
      </w:r>
    </w:p>
    <w:p w14:paraId="21E16741" w14:textId="63C7CDBD" w:rsidR="00B268C1" w:rsidRDefault="00B268C1" w:rsidP="00DD206B">
      <w:pPr>
        <w:tabs>
          <w:tab w:val="left" w:pos="567"/>
        </w:tabs>
        <w:spacing w:after="120" w:line="360" w:lineRule="auto"/>
        <w:jc w:val="both"/>
        <w:rPr>
          <w:rFonts w:cs="Times New Roman"/>
          <w:sz w:val="22"/>
          <w:szCs w:val="22"/>
        </w:rPr>
      </w:pPr>
    </w:p>
    <w:tbl>
      <w:tblPr>
        <w:tblStyle w:val="TableNormal"/>
        <w:tblW w:w="90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E8E8E8" w:themeFill="background2"/>
        <w:tblLayout w:type="fixed"/>
        <w:tblLook w:val="01E0" w:firstRow="1" w:lastRow="1" w:firstColumn="1" w:lastColumn="1" w:noHBand="0" w:noVBand="0"/>
      </w:tblPr>
      <w:tblGrid>
        <w:gridCol w:w="9088"/>
      </w:tblGrid>
      <w:tr w:rsidR="00FB5A81" w:rsidRPr="00A86A24" w14:paraId="39E714C8" w14:textId="77777777" w:rsidTr="00AC5A9F">
        <w:trPr>
          <w:trHeight w:val="746"/>
        </w:trPr>
        <w:tc>
          <w:tcPr>
            <w:tcW w:w="9088" w:type="dxa"/>
            <w:shd w:val="clear" w:color="auto" w:fill="E8E8E8" w:themeFill="background2"/>
          </w:tcPr>
          <w:p w14:paraId="400E61D5" w14:textId="044A56CC" w:rsidR="00FB5A81" w:rsidRPr="00A86A24" w:rsidRDefault="00FB5A81" w:rsidP="00AC5A9F">
            <w:pPr>
              <w:pStyle w:val="TableParagraph"/>
              <w:spacing w:before="118" w:line="360" w:lineRule="auto"/>
              <w:ind w:left="107"/>
              <w:jc w:val="both"/>
              <w:rPr>
                <w:b/>
                <w:u w:val="single"/>
                <w:lang w:val="fr-CI"/>
              </w:rPr>
            </w:pPr>
            <w:r w:rsidRPr="00A86A24">
              <w:rPr>
                <w:b/>
                <w:u w:val="single"/>
                <w:lang w:val="fr-CI"/>
              </w:rPr>
              <w:t xml:space="preserve">Cas </w:t>
            </w:r>
            <w:r w:rsidR="0046548A">
              <w:rPr>
                <w:b/>
                <w:u w:val="single"/>
                <w:lang w:val="fr-CI"/>
              </w:rPr>
              <w:t>8</w:t>
            </w:r>
            <w:r w:rsidRPr="00A86A24">
              <w:rPr>
                <w:b/>
                <w:u w:val="single"/>
                <w:lang w:val="fr-CI"/>
              </w:rPr>
              <w:t xml:space="preserve"> : </w:t>
            </w:r>
            <w:r w:rsidR="0046548A">
              <w:rPr>
                <w:b/>
                <w:u w:val="single"/>
                <w:lang w:val="fr-CI"/>
              </w:rPr>
              <w:t xml:space="preserve">Vol international de véhicule </w:t>
            </w:r>
          </w:p>
          <w:p w14:paraId="02CBEF1E" w14:textId="77777777" w:rsidR="00FB5A81" w:rsidRPr="00A86A24" w:rsidRDefault="00FB5A81" w:rsidP="00AC5A9F">
            <w:pPr>
              <w:pStyle w:val="TableParagraph"/>
              <w:spacing w:line="360" w:lineRule="auto"/>
              <w:ind w:left="107" w:right="95"/>
              <w:jc w:val="both"/>
              <w:rPr>
                <w:lang w:val="fr-CI"/>
              </w:rPr>
            </w:pPr>
            <w:r w:rsidRPr="00A86A24">
              <w:rPr>
                <w:lang w:val="fr-CI"/>
              </w:rPr>
              <w:t>Des éléments de la Brigade de Recherche et d'Intervention (BRI-Nord) ont intercepté un véhicule AUDI qui avait été déclaré volé et recherché par les services de sécurité intérieure de l'ambassade d'un pays européen. Les deux occupants du véhicule, M.D. et un autre individu, ont été arrêtés et interrogés. Ils ont expliqué qu'ils avaient quitté un pays voisin avec le véhicule pour Abidjan, où ils devaient le remettre à D.Y, qui a affirmé l'avoir acheté pour 50 000 000 FCFA (76 225 €) à K, un résident du pays voisin. Un contrat de vente a été présenté, signé par GD et CD en tant que vendeurs. Saisi du PPEF, une commission rogatoire internationale a ensuite été délivrée le 3 décembre 2024 aux autorités du pays voisin pour approfondir l'enquête sur le vol et avec les missions demandées suivantes :</w:t>
            </w:r>
          </w:p>
          <w:p w14:paraId="64A0F0FE" w14:textId="77777777" w:rsidR="00FB5A81" w:rsidRPr="00A86A24" w:rsidRDefault="00FB5A81" w:rsidP="00AC5A9F">
            <w:pPr>
              <w:pStyle w:val="TableParagraph"/>
              <w:spacing w:line="360" w:lineRule="auto"/>
              <w:ind w:left="107"/>
              <w:jc w:val="both"/>
              <w:rPr>
                <w:lang w:val="fr-CI"/>
              </w:rPr>
            </w:pPr>
            <w:r w:rsidRPr="00A86A24">
              <w:rPr>
                <w:lang w:val="fr-CI"/>
              </w:rPr>
              <w:t>Fouille, arrestation et interrogatoire de MM. K, G.D, C.D et D.N</w:t>
            </w:r>
          </w:p>
          <w:p w14:paraId="0D4A28BB" w14:textId="77777777" w:rsidR="00FB5A81" w:rsidRPr="00A86A24" w:rsidRDefault="00FB5A81" w:rsidP="00AC5A9F">
            <w:pPr>
              <w:pStyle w:val="TableParagraph"/>
              <w:spacing w:before="118" w:line="360" w:lineRule="auto"/>
              <w:ind w:left="786" w:right="784"/>
              <w:jc w:val="both"/>
              <w:rPr>
                <w:lang w:val="fr-CI"/>
              </w:rPr>
            </w:pPr>
            <w:r w:rsidRPr="00A86A24">
              <w:rPr>
                <w:lang w:val="fr-CI"/>
              </w:rPr>
              <w:t xml:space="preserve">Identifier et interroger l'utilisateur du numéro de téléphone +XXX XX </w:t>
            </w:r>
            <w:proofErr w:type="spellStart"/>
            <w:r w:rsidRPr="00A86A24">
              <w:rPr>
                <w:lang w:val="fr-CI"/>
              </w:rPr>
              <w:t>XX</w:t>
            </w:r>
            <w:proofErr w:type="spellEnd"/>
            <w:r w:rsidRPr="00A86A24">
              <w:rPr>
                <w:lang w:val="fr-CI"/>
              </w:rPr>
              <w:t xml:space="preserve"> </w:t>
            </w:r>
            <w:proofErr w:type="spellStart"/>
            <w:r w:rsidRPr="00A86A24">
              <w:rPr>
                <w:lang w:val="fr-CI"/>
              </w:rPr>
              <w:t>XX</w:t>
            </w:r>
            <w:proofErr w:type="spellEnd"/>
            <w:r w:rsidRPr="00A86A24">
              <w:rPr>
                <w:lang w:val="fr-CI"/>
              </w:rPr>
              <w:t xml:space="preserve"> </w:t>
            </w:r>
            <w:proofErr w:type="spellStart"/>
            <w:r w:rsidRPr="00A86A24">
              <w:rPr>
                <w:lang w:val="fr-CI"/>
              </w:rPr>
              <w:t>XX</w:t>
            </w:r>
            <w:proofErr w:type="spellEnd"/>
            <w:r w:rsidRPr="00A86A24">
              <w:rPr>
                <w:lang w:val="fr-CI"/>
              </w:rPr>
              <w:t xml:space="preserve"> en tant que suspect</w:t>
            </w:r>
          </w:p>
          <w:p w14:paraId="710939FD" w14:textId="77777777" w:rsidR="00FB5A81" w:rsidRPr="00A86A24" w:rsidRDefault="00FB5A81" w:rsidP="00AC5A9F">
            <w:pPr>
              <w:pStyle w:val="TableParagraph"/>
              <w:spacing w:before="123" w:line="360" w:lineRule="auto"/>
              <w:ind w:left="786"/>
              <w:jc w:val="both"/>
              <w:rPr>
                <w:lang w:val="fr-CI"/>
              </w:rPr>
            </w:pPr>
            <w:r w:rsidRPr="00A86A24">
              <w:rPr>
                <w:lang w:val="fr-CI"/>
              </w:rPr>
              <w:t>Réaliser une enquête patrimoniale</w:t>
            </w:r>
          </w:p>
          <w:p w14:paraId="0A0297A0" w14:textId="77777777" w:rsidR="00FB5A81" w:rsidRPr="00A86A24" w:rsidRDefault="00FB5A81" w:rsidP="00AC5A9F">
            <w:pPr>
              <w:pStyle w:val="TableParagraph"/>
              <w:spacing w:before="117" w:line="360" w:lineRule="auto"/>
              <w:ind w:left="786" w:right="784"/>
              <w:jc w:val="both"/>
              <w:rPr>
                <w:lang w:val="fr-CI"/>
              </w:rPr>
            </w:pPr>
            <w:r w:rsidRPr="00A86A24">
              <w:rPr>
                <w:lang w:val="fr-CI"/>
              </w:rPr>
              <w:lastRenderedPageBreak/>
              <w:t>Procéder à la saisie en vue de la confiscation de tous les biens en cas de perquisitions fructueuses</w:t>
            </w:r>
          </w:p>
          <w:p w14:paraId="207F7A37" w14:textId="77777777" w:rsidR="00FB5A81" w:rsidRPr="00A86A24" w:rsidRDefault="00FB5A81" w:rsidP="00AC5A9F">
            <w:pPr>
              <w:pStyle w:val="TableParagraph"/>
              <w:spacing w:before="110" w:line="360" w:lineRule="auto"/>
              <w:ind w:left="786" w:right="780" w:firstLine="55"/>
              <w:jc w:val="both"/>
              <w:rPr>
                <w:lang w:val="fr-CI"/>
              </w:rPr>
            </w:pPr>
            <w:r w:rsidRPr="00A86A24">
              <w:rPr>
                <w:lang w:val="fr-CI"/>
              </w:rPr>
              <w:t>Le DACP, qui a reçu la commission rogatoire le 19 décembre 2024, a effectué les procédures nécessaires et a transmis la procédure le 7 janvier 2025 au pays requis par la voie diplomatique.</w:t>
            </w:r>
          </w:p>
          <w:p w14:paraId="55806672" w14:textId="77777777" w:rsidR="00FB5A81" w:rsidRPr="00A86A24" w:rsidRDefault="00FB5A81" w:rsidP="00AC5A9F">
            <w:pPr>
              <w:pStyle w:val="TableParagraph"/>
              <w:spacing w:before="118" w:line="360" w:lineRule="auto"/>
              <w:ind w:left="107"/>
              <w:jc w:val="both"/>
              <w:rPr>
                <w:b/>
                <w:lang w:val="fr-CI"/>
              </w:rPr>
            </w:pPr>
            <w:r w:rsidRPr="00A86A24">
              <w:rPr>
                <w:lang w:val="fr-CI"/>
              </w:rPr>
              <w:t>L'affaire est toujours en cours et le juge attend le retour des commissions rogatoires. En conséquence, le 26 février 2025, la DACP a envoyé un rappel à l'autorité centrale par le biais du réseau WACAP.</w:t>
            </w:r>
          </w:p>
        </w:tc>
      </w:tr>
    </w:tbl>
    <w:p w14:paraId="60FE4164" w14:textId="77777777" w:rsidR="00DD206B" w:rsidRDefault="00DD206B" w:rsidP="00DD206B">
      <w:pPr>
        <w:tabs>
          <w:tab w:val="left" w:pos="567"/>
        </w:tabs>
        <w:spacing w:after="120" w:line="360" w:lineRule="auto"/>
        <w:jc w:val="both"/>
        <w:rPr>
          <w:rFonts w:cs="Times New Roman"/>
          <w:sz w:val="22"/>
          <w:szCs w:val="22"/>
        </w:rPr>
      </w:pPr>
    </w:p>
    <w:p w14:paraId="629432D7" w14:textId="77777777" w:rsidR="00C803B2" w:rsidRPr="000B5D97" w:rsidRDefault="00C803B2" w:rsidP="00DD206B">
      <w:pPr>
        <w:pStyle w:val="Titre4"/>
      </w:pPr>
      <w:r>
        <w:tab/>
      </w:r>
      <w:bookmarkStart w:id="11" w:name="_Toc190361416"/>
      <w:r>
        <w:t xml:space="preserve">Evaluation de la menace liée à la </w:t>
      </w:r>
      <w:bookmarkStart w:id="12" w:name="_Hlk189750931"/>
      <w:r>
        <w:t>f</w:t>
      </w:r>
      <w:r w:rsidRPr="00763A85">
        <w:t>raude</w:t>
      </w:r>
      <w:r>
        <w:t>,</w:t>
      </w:r>
      <w:r w:rsidRPr="00DA557C">
        <w:t xml:space="preserve"> </w:t>
      </w:r>
      <w:r>
        <w:t>au f</w:t>
      </w:r>
      <w:r w:rsidRPr="002B7854">
        <w:t>aux et usage de faux</w:t>
      </w:r>
      <w:r>
        <w:t>, à l’</w:t>
      </w:r>
      <w:r w:rsidRPr="00763A85">
        <w:t xml:space="preserve">escroquerie et </w:t>
      </w:r>
      <w:r>
        <w:t>à l’</w:t>
      </w:r>
      <w:r w:rsidRPr="00763A85">
        <w:t>abus de confiance</w:t>
      </w:r>
      <w:bookmarkEnd w:id="11"/>
    </w:p>
    <w:bookmarkEnd w:id="12"/>
    <w:p w14:paraId="273A1EF5" w14:textId="293E1011" w:rsidR="00BE3A11" w:rsidRPr="00114283" w:rsidRDefault="00BE3A11" w:rsidP="00DD206B">
      <w:pPr>
        <w:spacing w:line="360" w:lineRule="auto"/>
        <w:jc w:val="both"/>
        <w:rPr>
          <w:rFonts w:eastAsia="Times New Roman" w:cs="Times New Roman"/>
          <w:sz w:val="24"/>
          <w:szCs w:val="24"/>
          <w:lang w:eastAsia="fr-FR"/>
        </w:rPr>
      </w:pPr>
      <w:r w:rsidRPr="00114283">
        <w:rPr>
          <w:rFonts w:eastAsia="Times New Roman" w:cs="Times New Roman"/>
          <w:sz w:val="24"/>
          <w:szCs w:val="24"/>
          <w:lang w:eastAsia="fr-FR"/>
        </w:rPr>
        <w:t>Selon l’ENR de 2019 de la Côte d’Ivoire, parmi les menaces extérieures les plus importantes figuraient l’escroquerie et l’abus de confiance. Elle n’avait pas identifié le faux et usage de faux comme une menace extérieure. Les demandes d'entraide judiciaires formelles et informelles, les rapports de dissémination ainsi que les demandes d’informations internationales démontrent cependant le caractère transfrontalier de ces infractions.</w:t>
      </w:r>
    </w:p>
    <w:p w14:paraId="6A4B3CB2" w14:textId="33A32D7C" w:rsidR="00BE3A11" w:rsidRPr="00114283" w:rsidRDefault="00BE3A11" w:rsidP="00DD206B">
      <w:pPr>
        <w:spacing w:line="360" w:lineRule="auto"/>
        <w:jc w:val="both"/>
        <w:rPr>
          <w:rFonts w:eastAsia="Times New Roman" w:cs="Times New Roman"/>
          <w:sz w:val="24"/>
          <w:szCs w:val="24"/>
          <w:lang w:eastAsia="fr-FR"/>
        </w:rPr>
      </w:pPr>
      <w:r w:rsidRPr="00114283">
        <w:rPr>
          <w:rFonts w:eastAsia="Times New Roman" w:cs="Times New Roman"/>
          <w:sz w:val="24"/>
          <w:szCs w:val="24"/>
          <w:lang w:eastAsia="fr-FR"/>
        </w:rPr>
        <w:t>Sur la période de juin 2022 à janvier 2025, la DACP a reçu 30 demandes d’entraide relatives au faux et usage de faux sur un total de 93 demandes, et en a transmis 4 sur 17 concernant cette infraction. Dans le même temps, elle a également reçu 98 demandes d’entraide relatives aux faits d’escroquerie et d’abus de confiance. En 2024, elle a transmis 7 demandes liées à ces infractions sur un total de 17 demandes transmises.</w:t>
      </w:r>
    </w:p>
    <w:p w14:paraId="1E8F4491" w14:textId="70185C24" w:rsidR="00BE3A11" w:rsidRPr="00114283" w:rsidRDefault="00BE3A11" w:rsidP="00DD206B">
      <w:pPr>
        <w:spacing w:line="360" w:lineRule="auto"/>
        <w:jc w:val="both"/>
        <w:rPr>
          <w:rFonts w:eastAsia="Times New Roman" w:cs="Times New Roman"/>
          <w:sz w:val="24"/>
          <w:szCs w:val="24"/>
          <w:lang w:eastAsia="fr-FR"/>
        </w:rPr>
      </w:pPr>
      <w:r w:rsidRPr="00114283">
        <w:rPr>
          <w:rFonts w:eastAsia="Times New Roman" w:cs="Times New Roman"/>
          <w:sz w:val="24"/>
          <w:szCs w:val="24"/>
          <w:lang w:eastAsia="fr-FR"/>
        </w:rPr>
        <w:t>Le PPEF, pour sa part, a traité 12 des demandes d’entraide précitées et a poursuivi au total 918 dossiers dans lesquels les infractions d’escroquerie et d’abus de confiance ont été retenues.</w:t>
      </w:r>
    </w:p>
    <w:p w14:paraId="15452510" w14:textId="4CFB369D" w:rsidR="00BE3A11" w:rsidRPr="00114283" w:rsidRDefault="00BE3A11" w:rsidP="00DD206B">
      <w:pPr>
        <w:spacing w:line="360" w:lineRule="auto"/>
        <w:jc w:val="both"/>
        <w:rPr>
          <w:rFonts w:eastAsia="Times New Roman" w:cs="Times New Roman"/>
          <w:sz w:val="24"/>
          <w:szCs w:val="24"/>
          <w:lang w:eastAsia="fr-FR"/>
        </w:rPr>
      </w:pPr>
      <w:r w:rsidRPr="00114283">
        <w:rPr>
          <w:rFonts w:eastAsia="Times New Roman" w:cs="Times New Roman"/>
          <w:sz w:val="24"/>
          <w:szCs w:val="24"/>
          <w:lang w:eastAsia="fr-FR"/>
        </w:rPr>
        <w:t>La CENTIF a, de son côté, traité 30 Demandes d’Informations (DI) et reçu 82 DOS dont les rapports de dissémination confirment le caractère transfrontalier de ces infractions.</w:t>
      </w:r>
    </w:p>
    <w:p w14:paraId="0A51EEA0" w14:textId="4EAE2E01" w:rsidR="00BE3A11" w:rsidRPr="00114283" w:rsidRDefault="00BE3A11" w:rsidP="00DD206B">
      <w:pPr>
        <w:spacing w:line="360" w:lineRule="auto"/>
        <w:jc w:val="both"/>
        <w:rPr>
          <w:rFonts w:eastAsia="Times New Roman" w:cs="Times New Roman"/>
          <w:sz w:val="24"/>
          <w:szCs w:val="24"/>
          <w:lang w:eastAsia="fr-FR"/>
        </w:rPr>
      </w:pPr>
      <w:r w:rsidRPr="00114283">
        <w:rPr>
          <w:rFonts w:eastAsia="Times New Roman" w:cs="Times New Roman"/>
          <w:sz w:val="24"/>
          <w:szCs w:val="24"/>
          <w:lang w:eastAsia="fr-FR"/>
        </w:rPr>
        <w:t>Selon les demandes d’entraide formelles reçues par les autorités compétentes ivoiriennes, les principaux États requérants sont :</w:t>
      </w:r>
    </w:p>
    <w:p w14:paraId="10F26AD9" w14:textId="60226161" w:rsidR="00BE3A11" w:rsidRPr="00114283" w:rsidRDefault="00BE3A11" w:rsidP="00DD206B">
      <w:pPr>
        <w:pStyle w:val="Paragraphedeliste"/>
        <w:numPr>
          <w:ilvl w:val="0"/>
          <w:numId w:val="11"/>
        </w:numPr>
        <w:spacing w:line="360" w:lineRule="auto"/>
        <w:jc w:val="both"/>
        <w:rPr>
          <w:rFonts w:eastAsia="Times New Roman" w:cs="Times New Roman"/>
          <w:sz w:val="24"/>
          <w:szCs w:val="24"/>
          <w:lang w:eastAsia="fr-FR"/>
        </w:rPr>
      </w:pPr>
      <w:proofErr w:type="gramStart"/>
      <w:r w:rsidRPr="00114283">
        <w:rPr>
          <w:rFonts w:eastAsia="Times New Roman" w:cs="Times New Roman"/>
          <w:sz w:val="24"/>
          <w:szCs w:val="24"/>
          <w:lang w:eastAsia="fr-FR"/>
        </w:rPr>
        <w:t>pour</w:t>
      </w:r>
      <w:proofErr w:type="gramEnd"/>
      <w:r w:rsidRPr="00114283">
        <w:rPr>
          <w:rFonts w:eastAsia="Times New Roman" w:cs="Times New Roman"/>
          <w:sz w:val="24"/>
          <w:szCs w:val="24"/>
          <w:lang w:eastAsia="fr-FR"/>
        </w:rPr>
        <w:t xml:space="preserve"> l’Europe : la France, l’Espagne, la Belgique et le Luxembourg ;</w:t>
      </w:r>
    </w:p>
    <w:p w14:paraId="0C4DC74F" w14:textId="117B69FD" w:rsidR="00BE3A11" w:rsidRPr="00114283" w:rsidRDefault="00BE3A11" w:rsidP="00DD206B">
      <w:pPr>
        <w:pStyle w:val="Paragraphedeliste"/>
        <w:numPr>
          <w:ilvl w:val="0"/>
          <w:numId w:val="11"/>
        </w:numPr>
        <w:spacing w:line="360" w:lineRule="auto"/>
        <w:jc w:val="both"/>
        <w:rPr>
          <w:rFonts w:eastAsia="Times New Roman" w:cs="Times New Roman"/>
          <w:sz w:val="24"/>
          <w:szCs w:val="24"/>
          <w:lang w:eastAsia="fr-FR"/>
        </w:rPr>
      </w:pPr>
      <w:proofErr w:type="gramStart"/>
      <w:r w:rsidRPr="00114283">
        <w:rPr>
          <w:rFonts w:eastAsia="Times New Roman" w:cs="Times New Roman"/>
          <w:sz w:val="24"/>
          <w:szCs w:val="24"/>
          <w:lang w:eastAsia="fr-FR"/>
        </w:rPr>
        <w:t>pour</w:t>
      </w:r>
      <w:proofErr w:type="gramEnd"/>
      <w:r w:rsidRPr="00114283">
        <w:rPr>
          <w:rFonts w:eastAsia="Times New Roman" w:cs="Times New Roman"/>
          <w:sz w:val="24"/>
          <w:szCs w:val="24"/>
          <w:lang w:eastAsia="fr-FR"/>
        </w:rPr>
        <w:t xml:space="preserve"> l’Afrique de l’Ouest : le Burkina-Faso.</w:t>
      </w:r>
    </w:p>
    <w:p w14:paraId="23E942DE" w14:textId="469DC3A9" w:rsidR="00BE3A11" w:rsidRPr="00114283" w:rsidRDefault="00BE3A11" w:rsidP="00DD206B">
      <w:pPr>
        <w:spacing w:line="360" w:lineRule="auto"/>
        <w:jc w:val="both"/>
        <w:rPr>
          <w:rFonts w:eastAsia="Times New Roman" w:cs="Times New Roman"/>
          <w:sz w:val="24"/>
          <w:szCs w:val="24"/>
          <w:lang w:eastAsia="fr-FR"/>
        </w:rPr>
      </w:pPr>
      <w:r w:rsidRPr="00114283">
        <w:rPr>
          <w:rFonts w:eastAsia="Times New Roman" w:cs="Times New Roman"/>
          <w:sz w:val="24"/>
          <w:szCs w:val="24"/>
          <w:lang w:eastAsia="fr-FR"/>
        </w:rPr>
        <w:lastRenderedPageBreak/>
        <w:t>En ce qui concerne les demandes d’entraide transmises, les principaux États requis sont la France, le Mali, le Sénégal et la Guinée.</w:t>
      </w:r>
    </w:p>
    <w:p w14:paraId="781F517F" w14:textId="7193BC99" w:rsidR="00BE3A11" w:rsidRPr="00114283" w:rsidRDefault="00BE3A11" w:rsidP="00DD206B">
      <w:pPr>
        <w:spacing w:line="360" w:lineRule="auto"/>
        <w:jc w:val="both"/>
        <w:rPr>
          <w:rFonts w:eastAsia="Times New Roman" w:cs="Times New Roman"/>
          <w:sz w:val="24"/>
          <w:szCs w:val="24"/>
          <w:lang w:eastAsia="fr-FR"/>
        </w:rPr>
      </w:pPr>
      <w:r w:rsidRPr="00114283">
        <w:rPr>
          <w:rFonts w:eastAsia="Times New Roman" w:cs="Times New Roman"/>
          <w:sz w:val="24"/>
          <w:szCs w:val="24"/>
          <w:lang w:eastAsia="fr-FR"/>
        </w:rPr>
        <w:t xml:space="preserve">Les réseaux criminels internationaux opèrent dans le domaine des arnaques financières transfrontalières via des </w:t>
      </w:r>
      <w:r w:rsidR="002D321C">
        <w:rPr>
          <w:rFonts w:eastAsia="Times New Roman" w:cs="Times New Roman"/>
          <w:sz w:val="24"/>
          <w:szCs w:val="24"/>
          <w:lang w:eastAsia="fr-FR"/>
        </w:rPr>
        <w:t>IF</w:t>
      </w:r>
      <w:r w:rsidRPr="00114283">
        <w:rPr>
          <w:rFonts w:eastAsia="Times New Roman" w:cs="Times New Roman"/>
          <w:sz w:val="24"/>
          <w:szCs w:val="24"/>
          <w:lang w:eastAsia="fr-FR"/>
        </w:rPr>
        <w:t xml:space="preserve"> ivoiriennes et des particuliers pour commettre ces infractions.</w:t>
      </w:r>
    </w:p>
    <w:p w14:paraId="6782D9B0" w14:textId="5F89A0B7" w:rsidR="0030385F" w:rsidRPr="0030385F" w:rsidRDefault="00BE3A11" w:rsidP="0030385F">
      <w:pPr>
        <w:spacing w:line="360" w:lineRule="auto"/>
        <w:jc w:val="both"/>
        <w:rPr>
          <w:rFonts w:cs="Times New Roman"/>
          <w:b/>
          <w:bCs/>
          <w:sz w:val="22"/>
          <w:szCs w:val="22"/>
        </w:rPr>
      </w:pPr>
      <w:r w:rsidRPr="000E6CAC">
        <w:rPr>
          <w:rFonts w:cs="Times New Roman"/>
          <w:sz w:val="22"/>
          <w:szCs w:val="22"/>
        </w:rPr>
        <w:t xml:space="preserve">L’escroquerie et l’abus de confiance restent des menaces externes réelles pour le blanchiment d'argent, comme l’indiquait déjà l’ENR 2019. Cependant, au regard de ce qui précède, l’on peut conclure que le niveau de la menace extérieure liée à la fraude, au faux et usage de faux, à l’escroquerie et à l’abus de confiance est </w:t>
      </w:r>
      <w:r w:rsidRPr="000E6CAC">
        <w:rPr>
          <w:rFonts w:cs="Times New Roman"/>
          <w:b/>
          <w:bCs/>
          <w:sz w:val="22"/>
          <w:szCs w:val="22"/>
        </w:rPr>
        <w:t>« moyen ».</w:t>
      </w:r>
    </w:p>
    <w:tbl>
      <w:tblPr>
        <w:tblStyle w:val="Grilledutableau"/>
        <w:tblW w:w="0" w:type="auto"/>
        <w:shd w:val="clear" w:color="auto" w:fill="E8E8E8" w:themeFill="background2"/>
        <w:tblLook w:val="04A0" w:firstRow="1" w:lastRow="0" w:firstColumn="1" w:lastColumn="0" w:noHBand="0" w:noVBand="1"/>
      </w:tblPr>
      <w:tblGrid>
        <w:gridCol w:w="9016"/>
      </w:tblGrid>
      <w:tr w:rsidR="00FB5A81" w:rsidRPr="00A86A24" w14:paraId="19BA3276" w14:textId="77777777" w:rsidTr="00AC5A9F">
        <w:tc>
          <w:tcPr>
            <w:tcW w:w="9062" w:type="dxa"/>
            <w:shd w:val="clear" w:color="auto" w:fill="E8E8E8" w:themeFill="background2"/>
          </w:tcPr>
          <w:p w14:paraId="51F12E56" w14:textId="63E473A2" w:rsidR="00FB5A81" w:rsidRPr="00A86A24" w:rsidRDefault="00FB5A81" w:rsidP="00AC5A9F">
            <w:pPr>
              <w:spacing w:after="0" w:line="360" w:lineRule="auto"/>
              <w:jc w:val="both"/>
              <w:rPr>
                <w:rFonts w:eastAsia="Times New Roman" w:cs="Times New Roman"/>
                <w:b/>
                <w:bCs/>
                <w:sz w:val="22"/>
                <w:szCs w:val="22"/>
                <w:u w:val="single"/>
                <w:lang w:val="fr-CI" w:eastAsia="fr-CI"/>
              </w:rPr>
            </w:pPr>
            <w:r w:rsidRPr="00A86A24">
              <w:rPr>
                <w:rFonts w:eastAsia="Times New Roman" w:cs="Times New Roman"/>
                <w:b/>
                <w:bCs/>
                <w:sz w:val="22"/>
                <w:szCs w:val="22"/>
                <w:u w:val="single"/>
                <w:lang w:val="fr-CI" w:eastAsia="fr-CI"/>
              </w:rPr>
              <w:t xml:space="preserve">Cas </w:t>
            </w:r>
            <w:proofErr w:type="gramStart"/>
            <w:r w:rsidR="0046548A">
              <w:rPr>
                <w:rFonts w:eastAsia="Times New Roman" w:cs="Times New Roman"/>
                <w:b/>
                <w:bCs/>
                <w:sz w:val="22"/>
                <w:szCs w:val="22"/>
                <w:u w:val="single"/>
                <w:lang w:val="fr-CI" w:eastAsia="fr-CI"/>
              </w:rPr>
              <w:t>9</w:t>
            </w:r>
            <w:r w:rsidRPr="00A86A24">
              <w:rPr>
                <w:rFonts w:eastAsia="Times New Roman" w:cs="Times New Roman"/>
                <w:b/>
                <w:bCs/>
                <w:sz w:val="22"/>
                <w:szCs w:val="22"/>
                <w:u w:val="single"/>
                <w:lang w:val="fr-CI" w:eastAsia="fr-CI"/>
              </w:rPr>
              <w:t>:</w:t>
            </w:r>
            <w:proofErr w:type="gramEnd"/>
            <w:r w:rsidRPr="00A86A24">
              <w:rPr>
                <w:rFonts w:eastAsia="Times New Roman" w:cs="Times New Roman"/>
                <w:b/>
                <w:bCs/>
                <w:sz w:val="22"/>
                <w:szCs w:val="22"/>
                <w:u w:val="single"/>
                <w:lang w:val="fr-CI" w:eastAsia="fr-CI"/>
              </w:rPr>
              <w:t xml:space="preserve"> fraude et </w:t>
            </w:r>
            <w:r w:rsidR="0046548A">
              <w:rPr>
                <w:rFonts w:eastAsia="Times New Roman" w:cs="Times New Roman"/>
                <w:b/>
                <w:bCs/>
                <w:sz w:val="22"/>
                <w:szCs w:val="22"/>
                <w:u w:val="single"/>
                <w:lang w:val="fr-CI" w:eastAsia="fr-CI"/>
              </w:rPr>
              <w:t>B</w:t>
            </w:r>
            <w:r w:rsidRPr="00A86A24">
              <w:rPr>
                <w:rFonts w:eastAsia="Times New Roman" w:cs="Times New Roman"/>
                <w:b/>
                <w:bCs/>
                <w:sz w:val="22"/>
                <w:szCs w:val="22"/>
                <w:u w:val="single"/>
                <w:lang w:val="fr-CI" w:eastAsia="fr-CI"/>
              </w:rPr>
              <w:t>lanchiment d'argent</w:t>
            </w:r>
          </w:p>
          <w:p w14:paraId="2C8B722F" w14:textId="77777777" w:rsidR="00FB5A81" w:rsidRPr="00A86A24" w:rsidRDefault="00FB5A81" w:rsidP="00AC5A9F">
            <w:pPr>
              <w:spacing w:line="360" w:lineRule="auto"/>
              <w:jc w:val="both"/>
              <w:rPr>
                <w:rFonts w:eastAsia="Times New Roman" w:cs="Times New Roman"/>
                <w:sz w:val="22"/>
                <w:szCs w:val="22"/>
                <w:lang w:val="fr-CI" w:eastAsia="fr-CI"/>
              </w:rPr>
            </w:pPr>
            <w:r w:rsidRPr="00A86A24">
              <w:rPr>
                <w:rFonts w:eastAsia="Times New Roman" w:cs="Times New Roman"/>
                <w:sz w:val="22"/>
                <w:szCs w:val="22"/>
                <w:lang w:val="fr-CI" w:eastAsia="fr-CI"/>
              </w:rPr>
              <w:t>Dans le cadre d'une récente enquête menée par la cellule d'investigation de la SATT, trois personnes ont</w:t>
            </w:r>
            <w:r w:rsidRPr="00A86A24">
              <w:rPr>
                <w:rFonts w:cs="Times New Roman"/>
                <w:sz w:val="22"/>
                <w:szCs w:val="22"/>
              </w:rPr>
              <w:t xml:space="preserve"> </w:t>
            </w:r>
            <w:r w:rsidRPr="00A86A24">
              <w:rPr>
                <w:rFonts w:eastAsia="Times New Roman" w:cs="Times New Roman"/>
                <w:sz w:val="22"/>
                <w:szCs w:val="22"/>
                <w:lang w:val="fr-CI" w:eastAsia="fr-CI"/>
              </w:rPr>
              <w:t>Ces individus ont frauduleusement utilisé les identités, titres et fonctions de hauts fonctionnaires de la Présidence de la République pour escroquer des dirigeants d'entreprises publiques et privées. Ils leur faisaient croire qu'ils avaient activement contribué à leur nomination à ces postes, et pouvaient donc les y confirmer, ou leur proposaient la vente de biens (terrains, voitures, maisons).</w:t>
            </w:r>
          </w:p>
          <w:p w14:paraId="7CA83FD9" w14:textId="77777777" w:rsidR="00FB5A81" w:rsidRPr="00A86A24" w:rsidRDefault="00FB5A81" w:rsidP="00AC5A9F">
            <w:pPr>
              <w:spacing w:line="360" w:lineRule="auto"/>
              <w:jc w:val="both"/>
              <w:rPr>
                <w:rFonts w:eastAsia="Times New Roman" w:cs="Times New Roman"/>
                <w:sz w:val="22"/>
                <w:szCs w:val="22"/>
                <w:lang w:val="fr-CI" w:eastAsia="fr-CI"/>
              </w:rPr>
            </w:pPr>
            <w:r w:rsidRPr="00A86A24">
              <w:rPr>
                <w:rFonts w:eastAsia="Times New Roman" w:cs="Times New Roman"/>
                <w:sz w:val="22"/>
                <w:szCs w:val="22"/>
                <w:lang w:val="fr-CI" w:eastAsia="fr-CI"/>
              </w:rPr>
              <w:t>Le cerveau du groupe, situé dans un pays étranger, envoyait un émissaire pour collecter l'argent auprès des victimes après les avoir convaincues. C'est le cas d'un homme d'affaires libanais qui a été escroqué de plus de 150 000 000 FCFA (229 000 euros) pour l'achat de voitures de luxe. Les fonds collectés étaient ensuite déposés dans une agence de change manuel pour être transférés au chef du groupe, qui utilisait plusieurs identités pour retirer les fonds qui lui étaient transférés.</w:t>
            </w:r>
          </w:p>
          <w:p w14:paraId="5DA672AC" w14:textId="77777777" w:rsidR="00FB5A81" w:rsidRPr="00A86A24" w:rsidRDefault="00FB5A81" w:rsidP="00AC5A9F">
            <w:pPr>
              <w:spacing w:line="360" w:lineRule="auto"/>
              <w:jc w:val="both"/>
              <w:rPr>
                <w:rFonts w:eastAsia="Times New Roman" w:cs="Times New Roman"/>
                <w:sz w:val="22"/>
                <w:szCs w:val="22"/>
                <w:lang w:val="fr-CI" w:eastAsia="fr-CI"/>
              </w:rPr>
            </w:pPr>
            <w:r w:rsidRPr="00A86A24">
              <w:rPr>
                <w:rFonts w:eastAsia="Times New Roman" w:cs="Times New Roman"/>
                <w:sz w:val="22"/>
                <w:szCs w:val="22"/>
                <w:lang w:val="fr-CI" w:eastAsia="fr-CI"/>
              </w:rPr>
              <w:t>Les investigations ont également révélé que l'agence susmentionnée effectuait des prêts usuraires pour un montant estimé à 146.946.250 FCFA (228.925 euros) entre le 9 novembre 2023 et le 9 juillet 2024.</w:t>
            </w:r>
          </w:p>
          <w:p w14:paraId="558A20A7" w14:textId="77777777" w:rsidR="00FB5A81" w:rsidRPr="00A86A24" w:rsidRDefault="00FB5A81" w:rsidP="00AC5A9F">
            <w:pPr>
              <w:spacing w:line="360" w:lineRule="auto"/>
              <w:jc w:val="both"/>
              <w:rPr>
                <w:rFonts w:eastAsia="Times New Roman" w:cs="Times New Roman"/>
                <w:sz w:val="22"/>
                <w:szCs w:val="22"/>
                <w:lang w:val="fr-CI" w:eastAsia="fr-CI"/>
              </w:rPr>
            </w:pPr>
            <w:r w:rsidRPr="00A86A24">
              <w:rPr>
                <w:rFonts w:eastAsia="Times New Roman" w:cs="Times New Roman"/>
                <w:sz w:val="22"/>
                <w:szCs w:val="22"/>
                <w:lang w:val="fr-CI" w:eastAsia="fr-CI"/>
              </w:rPr>
              <w:t xml:space="preserve">Les perquisitions et la saisie d'équipements numériques ont révélé que cette agence de change utilisait le système de transfert informel </w:t>
            </w:r>
            <w:proofErr w:type="spellStart"/>
            <w:r w:rsidRPr="00A86A24">
              <w:rPr>
                <w:rFonts w:eastAsia="Times New Roman" w:cs="Times New Roman"/>
                <w:sz w:val="22"/>
                <w:szCs w:val="22"/>
                <w:lang w:val="fr-CI" w:eastAsia="fr-CI"/>
              </w:rPr>
              <w:t>Hawala</w:t>
            </w:r>
            <w:proofErr w:type="spellEnd"/>
            <w:r w:rsidRPr="00A86A24">
              <w:rPr>
                <w:rFonts w:eastAsia="Times New Roman" w:cs="Times New Roman"/>
                <w:sz w:val="22"/>
                <w:szCs w:val="22"/>
                <w:lang w:val="fr-CI" w:eastAsia="fr-CI"/>
              </w:rPr>
              <w:t xml:space="preserve"> pour mener des activités illégales de transfert d'argent. Sur la période du 12 mars 2024 au 17 juillet 2024, un total de 6 138 747 500 FCFA (9 372 133 euros) a été encaissé auprès de cette agence par le biais de transferts </w:t>
            </w:r>
            <w:proofErr w:type="spellStart"/>
            <w:r w:rsidRPr="00A86A24">
              <w:rPr>
                <w:rFonts w:eastAsia="Times New Roman" w:cs="Times New Roman"/>
                <w:sz w:val="22"/>
                <w:szCs w:val="22"/>
                <w:lang w:val="fr-CI" w:eastAsia="fr-CI"/>
              </w:rPr>
              <w:t>Hawala</w:t>
            </w:r>
            <w:proofErr w:type="spellEnd"/>
            <w:r w:rsidRPr="00A86A24">
              <w:rPr>
                <w:rFonts w:eastAsia="Times New Roman" w:cs="Times New Roman"/>
                <w:sz w:val="22"/>
                <w:szCs w:val="22"/>
                <w:lang w:val="fr-CI" w:eastAsia="fr-CI"/>
              </w:rPr>
              <w:t>.</w:t>
            </w:r>
          </w:p>
          <w:p w14:paraId="2F137D49" w14:textId="77777777" w:rsidR="00FB5A81" w:rsidRPr="00A86A24" w:rsidRDefault="00FB5A81" w:rsidP="00AC5A9F">
            <w:pPr>
              <w:spacing w:line="360" w:lineRule="auto"/>
              <w:jc w:val="both"/>
              <w:rPr>
                <w:rFonts w:eastAsia="Times New Roman" w:cs="Times New Roman"/>
                <w:sz w:val="22"/>
                <w:szCs w:val="22"/>
                <w:lang w:val="fr-CI" w:eastAsia="fr-CI"/>
              </w:rPr>
            </w:pPr>
            <w:r w:rsidRPr="00A86A24">
              <w:rPr>
                <w:rFonts w:eastAsia="Times New Roman" w:cs="Times New Roman"/>
                <w:sz w:val="22"/>
                <w:szCs w:val="22"/>
                <w:lang w:val="fr-CI" w:eastAsia="fr-CI"/>
              </w:rPr>
              <w:t xml:space="preserve">Le procureur de la République près le tribunal de première instance d'Abidjan Plateau, qui a ouvert l'enquête, a ordonné que les personnes arrêtées et les pièces à conviction soient remises au procureur de la République financier, compétent pour ce type d'affaire. </w:t>
            </w:r>
            <w:proofErr w:type="gramStart"/>
            <w:r w:rsidRPr="00A86A24">
              <w:rPr>
                <w:rFonts w:eastAsia="Times New Roman" w:cs="Times New Roman"/>
                <w:sz w:val="22"/>
                <w:szCs w:val="22"/>
                <w:lang w:val="fr-CI" w:eastAsia="fr-CI"/>
              </w:rPr>
              <w:t>été</w:t>
            </w:r>
            <w:proofErr w:type="gramEnd"/>
            <w:r w:rsidRPr="00A86A24">
              <w:rPr>
                <w:rFonts w:eastAsia="Times New Roman" w:cs="Times New Roman"/>
                <w:sz w:val="22"/>
                <w:szCs w:val="22"/>
                <w:lang w:val="fr-CI" w:eastAsia="fr-CI"/>
              </w:rPr>
              <w:t xml:space="preserve"> déférées au parquet du PPEF pour escroquerie en bande organisée et blanchiment d'argent.</w:t>
            </w:r>
          </w:p>
        </w:tc>
      </w:tr>
    </w:tbl>
    <w:p w14:paraId="1389862E" w14:textId="77777777" w:rsidR="0030385F" w:rsidRDefault="0030385F" w:rsidP="0030385F">
      <w:bookmarkStart w:id="13" w:name="_Toc190361418"/>
    </w:p>
    <w:p w14:paraId="182307C0" w14:textId="21E61A3E" w:rsidR="00C803B2" w:rsidRDefault="00C803B2" w:rsidP="00DD206B">
      <w:pPr>
        <w:pStyle w:val="Titre4"/>
      </w:pPr>
      <w:r>
        <w:lastRenderedPageBreak/>
        <w:t>Fraude Fiscale</w:t>
      </w:r>
      <w:bookmarkEnd w:id="13"/>
    </w:p>
    <w:p w14:paraId="098F230A" w14:textId="61EF635B" w:rsidR="002207EC" w:rsidRPr="00114283" w:rsidRDefault="002207EC" w:rsidP="00DD206B">
      <w:pPr>
        <w:tabs>
          <w:tab w:val="left" w:pos="567"/>
        </w:tabs>
        <w:spacing w:before="240" w:after="120" w:line="360" w:lineRule="auto"/>
        <w:contextualSpacing/>
        <w:jc w:val="both"/>
        <w:rPr>
          <w:sz w:val="24"/>
          <w:szCs w:val="24"/>
        </w:rPr>
      </w:pPr>
      <w:r w:rsidRPr="00114283">
        <w:rPr>
          <w:sz w:val="24"/>
          <w:szCs w:val="24"/>
        </w:rPr>
        <w:t xml:space="preserve">La fraude fiscale est un phénomène mondial qui fragilise la stabilité économique des pays, notamment la Côte d’Ivoire. Ce fléau, amplifié par des circuits financiers complexes et des stratégies d’évasion fiscale sophistiquées, repose sur des mécanismes transfrontaliers de blanchiment de capitaux impliquant des pays d’Afrique, du Moyen-Orient, d’Europe et d’Asie. Les méthodes les plus courantes incluent le </w:t>
      </w:r>
      <w:proofErr w:type="spellStart"/>
      <w:r w:rsidRPr="00114283">
        <w:rPr>
          <w:sz w:val="24"/>
          <w:szCs w:val="24"/>
        </w:rPr>
        <w:t>smurfing</w:t>
      </w:r>
      <w:proofErr w:type="spellEnd"/>
      <w:r w:rsidRPr="00114283">
        <w:rPr>
          <w:sz w:val="24"/>
          <w:szCs w:val="24"/>
        </w:rPr>
        <w:t xml:space="preserve"> (fractionnement), la superposition d’opérations bancaires et les transferts internationaux vers des paradis fiscaux. Les entreprises utilisent aussi de fausses factures, la surfacturation et la manipulation des prix de transfert pour réduire leur imposition.</w:t>
      </w:r>
    </w:p>
    <w:p w14:paraId="55E56744" w14:textId="7E1760F4" w:rsidR="002207EC" w:rsidRPr="00114283" w:rsidRDefault="002207EC" w:rsidP="00DD206B">
      <w:pPr>
        <w:tabs>
          <w:tab w:val="left" w:pos="567"/>
        </w:tabs>
        <w:spacing w:before="240" w:after="120" w:line="360" w:lineRule="auto"/>
        <w:contextualSpacing/>
        <w:jc w:val="both"/>
        <w:rPr>
          <w:sz w:val="24"/>
          <w:szCs w:val="24"/>
        </w:rPr>
      </w:pPr>
      <w:r w:rsidRPr="00114283">
        <w:rPr>
          <w:sz w:val="24"/>
          <w:szCs w:val="24"/>
        </w:rPr>
        <w:t>La fraude fiscale n’avait pas été identifié comme une menace transfrontalière lors de l’ENR de la Côte d’Ivoire en 2019. Toutefois, sur la période de 2022 à 2024, la CENTIF a enregistré 30 cas de fraude fiscale dans les rapports de disséminations et 6 cas de fraude fiscale dans les demandes d’informations internationales. Ces rapports de disséminations et les demandes d’informations internationales démontrent le caractère transfrontalier de l’infraction de fraude fiscale.</w:t>
      </w:r>
    </w:p>
    <w:p w14:paraId="061F3BEC" w14:textId="37C3777F" w:rsidR="002207EC" w:rsidRPr="00114283" w:rsidRDefault="002207EC" w:rsidP="00DD206B">
      <w:pPr>
        <w:tabs>
          <w:tab w:val="left" w:pos="567"/>
        </w:tabs>
        <w:spacing w:before="240" w:after="120" w:line="360" w:lineRule="auto"/>
        <w:contextualSpacing/>
        <w:jc w:val="both"/>
        <w:rPr>
          <w:sz w:val="24"/>
          <w:szCs w:val="24"/>
        </w:rPr>
      </w:pPr>
      <w:r w:rsidRPr="00114283">
        <w:rPr>
          <w:sz w:val="24"/>
          <w:szCs w:val="24"/>
        </w:rPr>
        <w:t>Selon la CENTIF, les pertes économiques engendrées sont considérables, atteignant 106,15 milliards de FCFA (168 078 350,64 dollars US) par an, avec des transferts frauduleux détectés vers la Turquie, le Sénégal, les Emirats Arabes Unis et les Iles Maurice.</w:t>
      </w:r>
    </w:p>
    <w:p w14:paraId="227E92BD" w14:textId="688A1611" w:rsidR="008155F9" w:rsidRPr="000E6CAC" w:rsidRDefault="008155F9" w:rsidP="00DD206B">
      <w:pPr>
        <w:tabs>
          <w:tab w:val="left" w:pos="567"/>
        </w:tabs>
        <w:spacing w:before="240" w:after="120" w:line="360" w:lineRule="auto"/>
        <w:jc w:val="both"/>
        <w:rPr>
          <w:sz w:val="24"/>
          <w:szCs w:val="24"/>
        </w:rPr>
      </w:pPr>
      <w:r w:rsidRPr="000E6CAC">
        <w:rPr>
          <w:sz w:val="24"/>
          <w:szCs w:val="24"/>
        </w:rPr>
        <w:t>Ce qui rend cette menace si grave, c’est aussi la sophistication croissante des méthodes. La fraude fiscale est souvent le point de départ (l'infraction primaire) du blanchiment d'argent, alimentant des mécanismes de dissimulation de plus en plus complexes. Parmi les techniques les plus courantes, on trouve la surfacturation de biens, l'utilisation de sociétés-écrans ou d’identités inventées, les transferts d’argent vers des juridictions peu coopératives et le mélange astucieux des comptes professionnels et personnels. Les secteurs les plus touchés sont le commerce, l’import-export, les matériaux de construction et l’agro-alimentaire, des domaines propices aux fausses déclarations douanières et fiscales en raison de leur forte densité en transactions transfrontalières et en espèces.</w:t>
      </w:r>
    </w:p>
    <w:p w14:paraId="48BF1DCD" w14:textId="748081A9" w:rsidR="007232D7" w:rsidRPr="000E6CAC" w:rsidRDefault="007232D7" w:rsidP="00DD206B">
      <w:pPr>
        <w:tabs>
          <w:tab w:val="left" w:pos="567"/>
        </w:tabs>
        <w:spacing w:before="240" w:after="120" w:line="360" w:lineRule="auto"/>
        <w:contextualSpacing/>
        <w:jc w:val="both"/>
        <w:rPr>
          <w:sz w:val="24"/>
          <w:szCs w:val="24"/>
        </w:rPr>
      </w:pPr>
      <w:r w:rsidRPr="00114283">
        <w:rPr>
          <w:sz w:val="24"/>
          <w:szCs w:val="24"/>
        </w:rPr>
        <w:t xml:space="preserve">Au regard du nombre significatif de cas documentés, de la nature transfrontalière confirmée par la coopération internationale et de l’ampleur des pertes économiques enregistrées, la fraude fiscale représente une menace substantielle pour l’économie ivoirienne et pour l’intégrité du système financier. </w:t>
      </w:r>
    </w:p>
    <w:p w14:paraId="444DFEC9" w14:textId="147D6B70" w:rsidR="007232D7" w:rsidRPr="008155F9" w:rsidRDefault="007232D7" w:rsidP="00DD206B">
      <w:pPr>
        <w:tabs>
          <w:tab w:val="left" w:pos="567"/>
        </w:tabs>
        <w:spacing w:before="240" w:after="120" w:line="360" w:lineRule="auto"/>
        <w:contextualSpacing/>
        <w:jc w:val="both"/>
        <w:rPr>
          <w:rFonts w:cs="Times New Roman"/>
          <w:sz w:val="22"/>
          <w:szCs w:val="22"/>
        </w:rPr>
      </w:pPr>
      <w:r w:rsidRPr="00BA2B32">
        <w:rPr>
          <w:sz w:val="24"/>
          <w:szCs w:val="24"/>
        </w:rPr>
        <w:t xml:space="preserve">Ces éléments justifient le niveau </w:t>
      </w:r>
      <w:r w:rsidRPr="00BA2B32">
        <w:rPr>
          <w:b/>
          <w:bCs/>
          <w:sz w:val="24"/>
          <w:szCs w:val="24"/>
        </w:rPr>
        <w:t>« élevé »</w:t>
      </w:r>
      <w:r w:rsidRPr="00BA2B32">
        <w:rPr>
          <w:sz w:val="24"/>
          <w:szCs w:val="24"/>
        </w:rPr>
        <w:t xml:space="preserve"> de la menace extérieure liée à la fraude fiscale.</w:t>
      </w:r>
    </w:p>
    <w:p w14:paraId="637DC8F8" w14:textId="77777777" w:rsidR="00FB5A81" w:rsidRDefault="00FB5A81" w:rsidP="00DD206B">
      <w:pPr>
        <w:tabs>
          <w:tab w:val="left" w:pos="567"/>
        </w:tabs>
        <w:spacing w:before="240" w:after="120" w:line="360" w:lineRule="auto"/>
        <w:contextualSpacing/>
        <w:jc w:val="both"/>
        <w:rPr>
          <w:rFonts w:cs="Times New Roman"/>
          <w:sz w:val="24"/>
          <w:szCs w:val="24"/>
        </w:rPr>
      </w:pPr>
    </w:p>
    <w:tbl>
      <w:tblPr>
        <w:tblStyle w:val="Grilledutableau"/>
        <w:tblW w:w="0" w:type="auto"/>
        <w:shd w:val="clear" w:color="auto" w:fill="E8E8E8" w:themeFill="background2"/>
        <w:tblLook w:val="04A0" w:firstRow="1" w:lastRow="0" w:firstColumn="1" w:lastColumn="0" w:noHBand="0" w:noVBand="1"/>
      </w:tblPr>
      <w:tblGrid>
        <w:gridCol w:w="9016"/>
      </w:tblGrid>
      <w:tr w:rsidR="00FB5A81" w:rsidRPr="00A86A24" w14:paraId="68CF0056" w14:textId="77777777" w:rsidTr="00AC5A9F">
        <w:tc>
          <w:tcPr>
            <w:tcW w:w="9062" w:type="dxa"/>
            <w:shd w:val="clear" w:color="auto" w:fill="E8E8E8" w:themeFill="background2"/>
          </w:tcPr>
          <w:p w14:paraId="3B67EE49" w14:textId="30EDACF4" w:rsidR="00FB5A81" w:rsidRPr="00A86A24" w:rsidRDefault="00FB5A81" w:rsidP="00AC5A9F">
            <w:pPr>
              <w:spacing w:line="360" w:lineRule="auto"/>
              <w:jc w:val="both"/>
              <w:rPr>
                <w:rFonts w:cs="Times New Roman"/>
                <w:b/>
                <w:bCs/>
                <w:sz w:val="22"/>
                <w:szCs w:val="22"/>
                <w:u w:val="single"/>
              </w:rPr>
            </w:pPr>
            <w:r w:rsidRPr="00A86A24">
              <w:rPr>
                <w:rFonts w:cs="Times New Roman"/>
                <w:b/>
                <w:bCs/>
                <w:sz w:val="22"/>
                <w:szCs w:val="22"/>
                <w:u w:val="single"/>
              </w:rPr>
              <w:t xml:space="preserve">Cas </w:t>
            </w:r>
            <w:r w:rsidR="0046548A">
              <w:rPr>
                <w:rFonts w:cs="Times New Roman"/>
                <w:b/>
                <w:bCs/>
                <w:sz w:val="22"/>
                <w:szCs w:val="22"/>
                <w:u w:val="single"/>
              </w:rPr>
              <w:t>10</w:t>
            </w:r>
            <w:r w:rsidRPr="00A86A24">
              <w:rPr>
                <w:rFonts w:cs="Times New Roman"/>
                <w:b/>
                <w:bCs/>
                <w:sz w:val="22"/>
                <w:szCs w:val="22"/>
                <w:u w:val="single"/>
              </w:rPr>
              <w:t xml:space="preserve"> : Fraude fiscale à travers l’utilisation de sociétés écrans à structure complexe avec un caractère transfrontalier.</w:t>
            </w:r>
          </w:p>
          <w:p w14:paraId="1D2D2AC8" w14:textId="77777777" w:rsidR="00FB5A81" w:rsidRPr="00A86A24" w:rsidRDefault="00FB5A81" w:rsidP="00AC5A9F">
            <w:pPr>
              <w:spacing w:line="360" w:lineRule="auto"/>
              <w:jc w:val="both"/>
              <w:rPr>
                <w:rFonts w:cs="Times New Roman"/>
                <w:b/>
                <w:bCs/>
                <w:sz w:val="22"/>
                <w:szCs w:val="22"/>
                <w:u w:val="single"/>
              </w:rPr>
            </w:pPr>
            <w:r w:rsidRPr="00A86A24">
              <w:rPr>
                <w:rFonts w:cs="Times New Roman"/>
                <w:sz w:val="22"/>
                <w:szCs w:val="22"/>
              </w:rPr>
              <w:t xml:space="preserve">Des individus de nationalité chinoise ont créé un groupe de neuf (9) entreprises apparentées de droit ivoirien, dont les SOCIÉTÉ SARL A et B. Les capitaux de ces sociétés étaient détenus en partie par une société étrangère dénommée SOCIÉTÉ ANONYME SL domiciliée à l’île Maurice et administrée par Monsieur Z. À la suite de l’augmentation du capital social de ces sociétés, il est apparu que la SOCIÉTÉ ANONYME SL a pris la totalité du contrôle desdites sociétés en détenant 100% des capitaux. Monsieur Z gère, par ailleurs, près de 122 autres entreprises, dont des sociétés offshores pour le compte de plusieurs bénéficiaires effectifs. Pour bien masquer l’identité des bénéficiaires effectifs et renforcer l’opacité et la complexité de la structure de propriété desdites sociétés, monsieur Z et son groupe ont utilisé des sociétés actionnaires. L’analyse des documents d’ouverture de compte révèle que ces sociétés font partie d’un réseau de neuf entreprises, majoritairement gérées par des ressortissants chinois et ayant des opérations commerciales communes. Leur activité inclut l’achat/revente, l’importation, la consignation, l’entreposage de produits finis, ainsi que la transformation de fer et de produits dérivés. Les entreprises importent diverses marchandises qu’elles commercialisent sur le marché national. Elles partagent les mêmes adresses, numéros de téléphone, fournisseurs et types de produits. Cependant, certaines de ces entreprises étaient fictives et couvraient, pour un temps, les activités des individus impliqués. Elles étaient utilisées pour le blanchiment de capitaux à travers des approvisionnements fictifs auprès d’entités affiliées. Enfin, ces sociétés ont transféré les fonds collectés, d’un montant estimé à </w:t>
            </w:r>
            <w:r w:rsidRPr="00A86A24">
              <w:rPr>
                <w:rFonts w:cs="Times New Roman"/>
                <w:b/>
                <w:bCs/>
                <w:sz w:val="22"/>
                <w:szCs w:val="22"/>
              </w:rPr>
              <w:t>205 558 429 733 FCFA (313 371 806 Euros)</w:t>
            </w:r>
            <w:r w:rsidRPr="00A86A24">
              <w:rPr>
                <w:rFonts w:cs="Times New Roman"/>
                <w:sz w:val="22"/>
                <w:szCs w:val="22"/>
              </w:rPr>
              <w:t>, vers la Chine, le Ghana, l’île Maurice et les Émirats arabes unis (Dubaï) sans paiement d’aucune charge fiscale. Plusieurs sociétés étrangères se faisant passer pour des fournisseurs ont bénéficié de ces flux financiers illicites. L’analyse a mis en évidence des cas de fractionnement multi-juridictionnel.</w:t>
            </w:r>
          </w:p>
        </w:tc>
      </w:tr>
    </w:tbl>
    <w:p w14:paraId="318B6959" w14:textId="77777777" w:rsidR="007232D7" w:rsidRDefault="007232D7" w:rsidP="00DD206B">
      <w:pPr>
        <w:tabs>
          <w:tab w:val="left" w:pos="567"/>
        </w:tabs>
        <w:spacing w:before="240" w:after="120" w:line="360" w:lineRule="auto"/>
        <w:contextualSpacing/>
        <w:jc w:val="both"/>
        <w:rPr>
          <w:sz w:val="24"/>
          <w:szCs w:val="24"/>
        </w:rPr>
      </w:pPr>
    </w:p>
    <w:p w14:paraId="75BD0207" w14:textId="4FCF12C5" w:rsidR="00E25042" w:rsidRPr="00AA6921" w:rsidRDefault="00E25042" w:rsidP="00E25042">
      <w:pPr>
        <w:tabs>
          <w:tab w:val="left" w:pos="567"/>
        </w:tabs>
        <w:spacing w:before="240" w:after="120" w:line="360" w:lineRule="auto"/>
        <w:contextualSpacing/>
        <w:jc w:val="center"/>
        <w:rPr>
          <w:rFonts w:cs="Times New Roman"/>
          <w:b/>
          <w:bCs/>
          <w:i/>
          <w:iCs/>
          <w:sz w:val="22"/>
          <w:szCs w:val="22"/>
        </w:rPr>
      </w:pPr>
      <w:r>
        <w:rPr>
          <w:rFonts w:cs="Times New Roman"/>
          <w:b/>
          <w:bCs/>
          <w:i/>
          <w:iCs/>
          <w:sz w:val="22"/>
          <w:szCs w:val="22"/>
        </w:rPr>
        <w:t>(</w:t>
      </w:r>
      <w:r w:rsidRPr="00AA6921">
        <w:rPr>
          <w:rFonts w:cs="Times New Roman"/>
          <w:b/>
          <w:bCs/>
          <w:i/>
          <w:iCs/>
          <w:sz w:val="22"/>
          <w:szCs w:val="22"/>
        </w:rPr>
        <w:t xml:space="preserve">Les autres cas concrets concernant la menace </w:t>
      </w:r>
      <w:r>
        <w:rPr>
          <w:rFonts w:cs="Times New Roman"/>
          <w:b/>
          <w:bCs/>
          <w:i/>
          <w:iCs/>
          <w:sz w:val="22"/>
          <w:szCs w:val="22"/>
        </w:rPr>
        <w:t>extérieure</w:t>
      </w:r>
      <w:r w:rsidRPr="00AA6921">
        <w:rPr>
          <w:rFonts w:cs="Times New Roman"/>
          <w:b/>
          <w:bCs/>
          <w:i/>
          <w:iCs/>
          <w:sz w:val="22"/>
          <w:szCs w:val="22"/>
        </w:rPr>
        <w:t xml:space="preserve"> sont en annexe.</w:t>
      </w:r>
      <w:r>
        <w:rPr>
          <w:rFonts w:cs="Times New Roman"/>
          <w:b/>
          <w:bCs/>
          <w:i/>
          <w:iCs/>
          <w:sz w:val="22"/>
          <w:szCs w:val="22"/>
        </w:rPr>
        <w:t>)</w:t>
      </w:r>
    </w:p>
    <w:p w14:paraId="666CC48B" w14:textId="77777777" w:rsidR="00E25042" w:rsidRDefault="00E25042" w:rsidP="00DD206B">
      <w:pPr>
        <w:tabs>
          <w:tab w:val="left" w:pos="567"/>
        </w:tabs>
        <w:spacing w:before="240" w:after="120" w:line="360" w:lineRule="auto"/>
        <w:contextualSpacing/>
        <w:jc w:val="both"/>
        <w:rPr>
          <w:sz w:val="24"/>
          <w:szCs w:val="24"/>
        </w:rPr>
      </w:pPr>
    </w:p>
    <w:p w14:paraId="7407AA08" w14:textId="77777777" w:rsidR="0030385F" w:rsidRDefault="0030385F" w:rsidP="00DD206B">
      <w:pPr>
        <w:tabs>
          <w:tab w:val="left" w:pos="567"/>
        </w:tabs>
        <w:spacing w:before="240" w:after="120" w:line="360" w:lineRule="auto"/>
        <w:contextualSpacing/>
        <w:jc w:val="both"/>
        <w:rPr>
          <w:sz w:val="24"/>
          <w:szCs w:val="24"/>
        </w:rPr>
      </w:pPr>
    </w:p>
    <w:p w14:paraId="22A86C7A" w14:textId="77777777" w:rsidR="0030385F" w:rsidRDefault="0030385F" w:rsidP="00DD206B">
      <w:pPr>
        <w:tabs>
          <w:tab w:val="left" w:pos="567"/>
        </w:tabs>
        <w:spacing w:before="240" w:after="120" w:line="360" w:lineRule="auto"/>
        <w:contextualSpacing/>
        <w:jc w:val="both"/>
        <w:rPr>
          <w:sz w:val="24"/>
          <w:szCs w:val="24"/>
        </w:rPr>
      </w:pPr>
    </w:p>
    <w:p w14:paraId="3287692F" w14:textId="77777777" w:rsidR="0030385F" w:rsidRDefault="0030385F" w:rsidP="00DD206B">
      <w:pPr>
        <w:tabs>
          <w:tab w:val="left" w:pos="567"/>
        </w:tabs>
        <w:spacing w:before="240" w:after="120" w:line="360" w:lineRule="auto"/>
        <w:contextualSpacing/>
        <w:jc w:val="both"/>
        <w:rPr>
          <w:sz w:val="24"/>
          <w:szCs w:val="24"/>
        </w:rPr>
      </w:pPr>
    </w:p>
    <w:p w14:paraId="61600472" w14:textId="77777777" w:rsidR="0030385F" w:rsidRDefault="0030385F" w:rsidP="00DD206B">
      <w:pPr>
        <w:tabs>
          <w:tab w:val="left" w:pos="567"/>
        </w:tabs>
        <w:spacing w:before="240" w:after="120" w:line="360" w:lineRule="auto"/>
        <w:contextualSpacing/>
        <w:jc w:val="both"/>
        <w:rPr>
          <w:sz w:val="24"/>
          <w:szCs w:val="24"/>
        </w:rPr>
      </w:pPr>
    </w:p>
    <w:p w14:paraId="3B85123D" w14:textId="77777777" w:rsidR="0030385F" w:rsidRDefault="0030385F" w:rsidP="00DD206B">
      <w:pPr>
        <w:tabs>
          <w:tab w:val="left" w:pos="567"/>
        </w:tabs>
        <w:spacing w:before="240" w:after="120" w:line="360" w:lineRule="auto"/>
        <w:contextualSpacing/>
        <w:jc w:val="both"/>
        <w:rPr>
          <w:sz w:val="24"/>
          <w:szCs w:val="24"/>
        </w:rPr>
      </w:pPr>
    </w:p>
    <w:p w14:paraId="1F74834D" w14:textId="77777777" w:rsidR="0030385F" w:rsidRDefault="0030385F" w:rsidP="00DD206B">
      <w:pPr>
        <w:tabs>
          <w:tab w:val="left" w:pos="567"/>
        </w:tabs>
        <w:spacing w:before="240" w:after="120" w:line="360" w:lineRule="auto"/>
        <w:contextualSpacing/>
        <w:jc w:val="both"/>
        <w:rPr>
          <w:sz w:val="24"/>
          <w:szCs w:val="24"/>
        </w:rPr>
      </w:pPr>
    </w:p>
    <w:p w14:paraId="1ABD28B8" w14:textId="70F0011A" w:rsidR="007232D7" w:rsidRPr="00FB5A81" w:rsidRDefault="007232D7" w:rsidP="00FB5A81">
      <w:pPr>
        <w:tabs>
          <w:tab w:val="left" w:pos="567"/>
        </w:tabs>
        <w:spacing w:before="240" w:after="120" w:line="360" w:lineRule="auto"/>
        <w:contextualSpacing/>
        <w:jc w:val="both"/>
        <w:rPr>
          <w:b/>
          <w:bCs/>
          <w:sz w:val="24"/>
          <w:szCs w:val="24"/>
          <w:u w:val="single"/>
        </w:rPr>
      </w:pPr>
      <w:r w:rsidRPr="00FB5A81">
        <w:rPr>
          <w:b/>
          <w:bCs/>
          <w:sz w:val="24"/>
          <w:szCs w:val="24"/>
          <w:u w:val="single"/>
        </w:rPr>
        <w:lastRenderedPageBreak/>
        <w:t>Niveau de la menace extérieure(transfrontalière) de BC selon les infractions sous-jacentes</w:t>
      </w:r>
    </w:p>
    <w:tbl>
      <w:tblPr>
        <w:tblStyle w:val="Grilledutableau"/>
        <w:tblW w:w="0" w:type="auto"/>
        <w:shd w:val="clear" w:color="auto" w:fill="E8E8E8" w:themeFill="background2"/>
        <w:tblLook w:val="04A0" w:firstRow="1" w:lastRow="0" w:firstColumn="1" w:lastColumn="0" w:noHBand="0" w:noVBand="1"/>
      </w:tblPr>
      <w:tblGrid>
        <w:gridCol w:w="9016"/>
      </w:tblGrid>
      <w:tr w:rsidR="00295BBA" w:rsidRPr="00295BBA" w14:paraId="25EE98FF" w14:textId="77777777" w:rsidTr="0046548A">
        <w:tc>
          <w:tcPr>
            <w:tcW w:w="9016" w:type="dxa"/>
            <w:shd w:val="clear" w:color="auto" w:fill="C1E4F5" w:themeFill="accent1" w:themeFillTint="33"/>
          </w:tcPr>
          <w:p w14:paraId="47DBD8AC" w14:textId="77777777" w:rsidR="00295BBA" w:rsidRPr="00295BBA" w:rsidRDefault="00295BBA" w:rsidP="00DD206B">
            <w:pPr>
              <w:tabs>
                <w:tab w:val="left" w:pos="567"/>
              </w:tabs>
              <w:spacing w:before="240" w:after="120" w:line="360" w:lineRule="auto"/>
              <w:jc w:val="both"/>
              <w:rPr>
                <w:rFonts w:cs="Times New Roman"/>
                <w:sz w:val="24"/>
                <w:szCs w:val="24"/>
              </w:rPr>
            </w:pPr>
            <w:r w:rsidRPr="00295BBA">
              <w:rPr>
                <w:rFonts w:cs="Times New Roman"/>
                <w:sz w:val="24"/>
                <w:szCs w:val="24"/>
              </w:rPr>
              <w:t xml:space="preserve">Les niveaux de la menace liée aux principales infractions transfrontalières de blanchiment de capitaux se présentent comme suit : </w:t>
            </w:r>
          </w:p>
          <w:p w14:paraId="581420DD" w14:textId="77777777" w:rsidR="00295BBA" w:rsidRPr="00295BBA" w:rsidRDefault="00295BBA" w:rsidP="00DD206B">
            <w:pPr>
              <w:pStyle w:val="Paragraphedeliste"/>
              <w:numPr>
                <w:ilvl w:val="0"/>
                <w:numId w:val="2"/>
              </w:numPr>
              <w:tabs>
                <w:tab w:val="left" w:pos="567"/>
              </w:tabs>
              <w:spacing w:before="240" w:after="120" w:line="360" w:lineRule="auto"/>
              <w:jc w:val="both"/>
              <w:rPr>
                <w:rFonts w:cs="Times New Roman"/>
                <w:sz w:val="24"/>
                <w:szCs w:val="24"/>
              </w:rPr>
            </w:pPr>
            <w:proofErr w:type="gramStart"/>
            <w:r w:rsidRPr="00295BBA">
              <w:rPr>
                <w:rFonts w:cs="Times New Roman"/>
                <w:b/>
                <w:bCs/>
                <w:sz w:val="24"/>
                <w:szCs w:val="24"/>
              </w:rPr>
              <w:t>très</w:t>
            </w:r>
            <w:proofErr w:type="gramEnd"/>
            <w:r w:rsidRPr="00295BBA">
              <w:rPr>
                <w:rFonts w:cs="Times New Roman"/>
                <w:b/>
                <w:bCs/>
                <w:sz w:val="24"/>
                <w:szCs w:val="24"/>
              </w:rPr>
              <w:t xml:space="preserve"> élevé</w:t>
            </w:r>
            <w:r w:rsidRPr="00295BBA">
              <w:rPr>
                <w:rFonts w:cs="Times New Roman"/>
                <w:sz w:val="24"/>
                <w:szCs w:val="24"/>
              </w:rPr>
              <w:t xml:space="preserve"> pour le trafic illicite de stupéfiants et la cybercriminalité ; </w:t>
            </w:r>
          </w:p>
          <w:p w14:paraId="173DAB15" w14:textId="77777777" w:rsidR="00295BBA" w:rsidRPr="00295BBA" w:rsidRDefault="00295BBA" w:rsidP="00DD206B">
            <w:pPr>
              <w:pStyle w:val="Paragraphedeliste"/>
              <w:numPr>
                <w:ilvl w:val="0"/>
                <w:numId w:val="2"/>
              </w:numPr>
              <w:tabs>
                <w:tab w:val="left" w:pos="567"/>
              </w:tabs>
              <w:spacing w:before="240" w:after="120" w:line="360" w:lineRule="auto"/>
              <w:jc w:val="both"/>
              <w:rPr>
                <w:sz w:val="24"/>
                <w:szCs w:val="24"/>
              </w:rPr>
            </w:pPr>
            <w:proofErr w:type="gramStart"/>
            <w:r w:rsidRPr="00295BBA">
              <w:rPr>
                <w:b/>
                <w:bCs/>
                <w:sz w:val="24"/>
                <w:szCs w:val="24"/>
              </w:rPr>
              <w:t>élevé</w:t>
            </w:r>
            <w:proofErr w:type="gramEnd"/>
            <w:r w:rsidRPr="00295BBA">
              <w:rPr>
                <w:b/>
                <w:bCs/>
                <w:sz w:val="24"/>
                <w:szCs w:val="24"/>
              </w:rPr>
              <w:t> </w:t>
            </w:r>
            <w:r w:rsidRPr="00295BBA">
              <w:rPr>
                <w:sz w:val="24"/>
                <w:szCs w:val="24"/>
              </w:rPr>
              <w:t>s’agissant de la fraude fiscale ;</w:t>
            </w:r>
          </w:p>
          <w:p w14:paraId="33D91494" w14:textId="77777777" w:rsidR="00295BBA" w:rsidRPr="00295BBA" w:rsidRDefault="00295BBA" w:rsidP="00DD206B">
            <w:pPr>
              <w:pStyle w:val="Paragraphedeliste"/>
              <w:numPr>
                <w:ilvl w:val="0"/>
                <w:numId w:val="2"/>
              </w:numPr>
              <w:tabs>
                <w:tab w:val="left" w:pos="567"/>
              </w:tabs>
              <w:spacing w:before="240" w:after="120" w:line="360" w:lineRule="auto"/>
              <w:jc w:val="both"/>
              <w:rPr>
                <w:sz w:val="24"/>
                <w:szCs w:val="24"/>
              </w:rPr>
            </w:pPr>
            <w:proofErr w:type="gramStart"/>
            <w:r w:rsidRPr="00295BBA">
              <w:rPr>
                <w:b/>
                <w:bCs/>
                <w:sz w:val="24"/>
                <w:szCs w:val="24"/>
              </w:rPr>
              <w:t>moyen</w:t>
            </w:r>
            <w:proofErr w:type="gramEnd"/>
            <w:r w:rsidRPr="00295BBA">
              <w:rPr>
                <w:b/>
                <w:bCs/>
                <w:sz w:val="24"/>
                <w:szCs w:val="24"/>
              </w:rPr>
              <w:t> </w:t>
            </w:r>
            <w:r w:rsidRPr="00295BBA">
              <w:rPr>
                <w:sz w:val="24"/>
                <w:szCs w:val="24"/>
              </w:rPr>
              <w:t>concernant le</w:t>
            </w:r>
            <w:r w:rsidRPr="00295BBA">
              <w:rPr>
                <w:rFonts w:cs="Times New Roman"/>
                <w:sz w:val="24"/>
                <w:szCs w:val="24"/>
              </w:rPr>
              <w:t xml:space="preserve"> vol de véhicules, la fraude, le faux et l’usage de faux, l’escroquerie et l’abus de confiance.</w:t>
            </w:r>
          </w:p>
          <w:p w14:paraId="5A4BB86A" w14:textId="3815BC93" w:rsidR="00295BBA" w:rsidRPr="00CB6E19" w:rsidRDefault="00295BBA" w:rsidP="00DD206B">
            <w:pPr>
              <w:tabs>
                <w:tab w:val="left" w:pos="567"/>
              </w:tabs>
              <w:spacing w:before="240" w:after="120" w:line="360" w:lineRule="auto"/>
              <w:jc w:val="both"/>
              <w:rPr>
                <w:b/>
                <w:bCs/>
                <w:sz w:val="24"/>
                <w:szCs w:val="24"/>
              </w:rPr>
            </w:pPr>
            <w:r w:rsidRPr="000E6CAC">
              <w:rPr>
                <w:b/>
                <w:bCs/>
                <w:sz w:val="24"/>
                <w:szCs w:val="24"/>
              </w:rPr>
              <w:t xml:space="preserve">En somme, le niveau global de la menace extérieure de BC est </w:t>
            </w:r>
            <w:r w:rsidRPr="00CB6E19">
              <w:rPr>
                <w:b/>
                <w:bCs/>
                <w:sz w:val="24"/>
                <w:szCs w:val="24"/>
              </w:rPr>
              <w:t>« élevé ».</w:t>
            </w:r>
          </w:p>
        </w:tc>
      </w:tr>
    </w:tbl>
    <w:p w14:paraId="231EFF71" w14:textId="77777777" w:rsidR="008D74C9" w:rsidRPr="008D74C9" w:rsidRDefault="008D74C9" w:rsidP="00DD206B">
      <w:pPr>
        <w:spacing w:line="360" w:lineRule="auto"/>
        <w:jc w:val="both"/>
      </w:pPr>
    </w:p>
    <w:p w14:paraId="49E76372" w14:textId="773A6332" w:rsidR="00AA5EF7" w:rsidRPr="00260A08" w:rsidRDefault="00260A08" w:rsidP="00DD206B">
      <w:pPr>
        <w:pStyle w:val="Titre3"/>
        <w:rPr>
          <w:sz w:val="22"/>
        </w:rPr>
      </w:pPr>
      <w:bookmarkStart w:id="14" w:name="_Hlk211008074"/>
      <w:bookmarkStart w:id="15" w:name="_Toc213326900"/>
      <w:r w:rsidRPr="009461FB">
        <w:rPr>
          <w:sz w:val="22"/>
        </w:rPr>
        <w:t xml:space="preserve">Menace </w:t>
      </w:r>
      <w:r>
        <w:rPr>
          <w:sz w:val="22"/>
        </w:rPr>
        <w:t xml:space="preserve">de </w:t>
      </w:r>
      <w:r w:rsidRPr="00260A08">
        <w:rPr>
          <w:sz w:val="22"/>
        </w:rPr>
        <w:t>blanchiment</w:t>
      </w:r>
      <w:r>
        <w:rPr>
          <w:sz w:val="22"/>
        </w:rPr>
        <w:t xml:space="preserve"> de capitaux dit</w:t>
      </w:r>
      <w:r w:rsidRPr="00260A08">
        <w:rPr>
          <w:sz w:val="22"/>
        </w:rPr>
        <w:t xml:space="preserve"> autonome</w:t>
      </w:r>
      <w:bookmarkEnd w:id="15"/>
    </w:p>
    <w:bookmarkEnd w:id="14"/>
    <w:p w14:paraId="2D53156C" w14:textId="68F4D439" w:rsidR="002207EC" w:rsidRPr="00114283" w:rsidRDefault="002207EC" w:rsidP="00DD206B">
      <w:pPr>
        <w:pStyle w:val="APPara"/>
        <w:spacing w:line="360" w:lineRule="auto"/>
        <w:ind w:right="-58"/>
        <w:rPr>
          <w:rFonts w:eastAsiaTheme="minorEastAsia"/>
          <w:sz w:val="24"/>
          <w:szCs w:val="24"/>
          <w:lang w:val="fr-FR"/>
        </w:rPr>
      </w:pPr>
      <w:r w:rsidRPr="00114283">
        <w:rPr>
          <w:rFonts w:eastAsiaTheme="minorEastAsia"/>
          <w:sz w:val="24"/>
          <w:szCs w:val="24"/>
          <w:lang w:val="fr-FR"/>
        </w:rPr>
        <w:t xml:space="preserve">Lors de l’ENR de 2019 de la Côte d’Ivoire, le blanchiment de capitaux </w:t>
      </w:r>
      <w:r w:rsidR="00E016F0">
        <w:rPr>
          <w:rFonts w:eastAsiaTheme="minorEastAsia"/>
          <w:sz w:val="24"/>
          <w:szCs w:val="24"/>
          <w:lang w:val="fr-FR"/>
        </w:rPr>
        <w:t xml:space="preserve">dit </w:t>
      </w:r>
      <w:r w:rsidRPr="00114283">
        <w:rPr>
          <w:rFonts w:eastAsiaTheme="minorEastAsia"/>
          <w:sz w:val="24"/>
          <w:szCs w:val="24"/>
          <w:lang w:val="fr-FR"/>
        </w:rPr>
        <w:t xml:space="preserve">autonome n’avait pas été identifié comme une menace. </w:t>
      </w:r>
      <w:r w:rsidR="00CB6E19">
        <w:rPr>
          <w:rFonts w:eastAsiaTheme="minorEastAsia"/>
          <w:sz w:val="24"/>
          <w:szCs w:val="24"/>
          <w:lang w:val="fr-FR"/>
        </w:rPr>
        <w:t>Cependant</w:t>
      </w:r>
      <w:r w:rsidRPr="00114283">
        <w:rPr>
          <w:rFonts w:eastAsiaTheme="minorEastAsia"/>
          <w:sz w:val="24"/>
          <w:szCs w:val="24"/>
          <w:lang w:val="fr-FR"/>
        </w:rPr>
        <w:t>, les demandes d'entraide judiciaires, les rapports de dissémination ainsi que les demandes d’informations internationales laissent apparaître l’existence de cas de blanchiment</w:t>
      </w:r>
      <w:r w:rsidR="00E016F0">
        <w:rPr>
          <w:rFonts w:eastAsiaTheme="minorEastAsia"/>
          <w:sz w:val="24"/>
          <w:szCs w:val="24"/>
          <w:lang w:val="fr-FR"/>
        </w:rPr>
        <w:t xml:space="preserve"> dit</w:t>
      </w:r>
      <w:r w:rsidRPr="00114283">
        <w:rPr>
          <w:rFonts w:eastAsiaTheme="minorEastAsia"/>
          <w:sz w:val="24"/>
          <w:szCs w:val="24"/>
          <w:lang w:val="fr-FR"/>
        </w:rPr>
        <w:t xml:space="preserve"> autonome à caractère transfrontalier.</w:t>
      </w:r>
    </w:p>
    <w:p w14:paraId="59896546" w14:textId="24429F11" w:rsidR="002207EC" w:rsidRPr="00114283" w:rsidRDefault="002207EC" w:rsidP="00DD206B">
      <w:pPr>
        <w:pStyle w:val="APPara"/>
        <w:spacing w:line="360" w:lineRule="auto"/>
        <w:ind w:right="-58"/>
        <w:rPr>
          <w:rFonts w:eastAsiaTheme="minorEastAsia"/>
          <w:sz w:val="24"/>
          <w:szCs w:val="24"/>
          <w:lang w:val="fr-FR"/>
        </w:rPr>
      </w:pPr>
      <w:r w:rsidRPr="00114283">
        <w:rPr>
          <w:rFonts w:eastAsiaTheme="minorEastAsia"/>
          <w:sz w:val="24"/>
          <w:szCs w:val="24"/>
          <w:lang w:val="fr-FR"/>
        </w:rPr>
        <w:t xml:space="preserve">Entre juin 2022 et janvier 2025, la CENTIF a révélé, à travers ses rapports de disséminations et ses demandes d’informations internationales, 17 cas de blanchiment </w:t>
      </w:r>
      <w:r w:rsidR="00E016F0">
        <w:rPr>
          <w:rFonts w:eastAsiaTheme="minorEastAsia"/>
          <w:sz w:val="24"/>
          <w:szCs w:val="24"/>
          <w:lang w:val="fr-FR"/>
        </w:rPr>
        <w:t xml:space="preserve">dit </w:t>
      </w:r>
      <w:r w:rsidRPr="00114283">
        <w:rPr>
          <w:rFonts w:eastAsiaTheme="minorEastAsia"/>
          <w:sz w:val="24"/>
          <w:szCs w:val="24"/>
          <w:lang w:val="fr-FR"/>
        </w:rPr>
        <w:t xml:space="preserve">autonome dont la majorité est issue de la zone de l’Union Économique et Monétaire Ouest-Africaine (UEMOA), en l’occurrence du Bénin. Dans le même cadre, la CENTIF a procédé à 4 diffusions spontanées au profit du PPEF et à 5 diffusions à la DPEF. Entre mars et juin 2025, elle a encore effectué 4 diffusions respectivement au PPEF et à la DPEF. De plus, sur la période de septembre 2024 à février 2025, la CENTIF a reçu plusieurs demandes d’informations liées au blanchiment </w:t>
      </w:r>
      <w:r w:rsidR="00E016F0">
        <w:rPr>
          <w:rFonts w:eastAsiaTheme="minorEastAsia"/>
          <w:sz w:val="24"/>
          <w:szCs w:val="24"/>
          <w:lang w:val="fr-FR"/>
        </w:rPr>
        <w:t xml:space="preserve">dit </w:t>
      </w:r>
      <w:r w:rsidRPr="00114283">
        <w:rPr>
          <w:rFonts w:eastAsiaTheme="minorEastAsia"/>
          <w:sz w:val="24"/>
          <w:szCs w:val="24"/>
          <w:lang w:val="fr-FR"/>
        </w:rPr>
        <w:t>autonome de la part des autorités suivantes : DGMG (26), AGRAC (4), DPSD (24), LONACI/ARJH (5).</w:t>
      </w:r>
    </w:p>
    <w:p w14:paraId="03D58F3F" w14:textId="76ED2CF4" w:rsidR="002207EC" w:rsidRPr="00114283" w:rsidRDefault="002207EC" w:rsidP="00DD206B">
      <w:pPr>
        <w:pStyle w:val="APPara"/>
        <w:spacing w:line="360" w:lineRule="auto"/>
        <w:ind w:right="-58"/>
        <w:rPr>
          <w:rFonts w:eastAsiaTheme="minorEastAsia"/>
          <w:sz w:val="24"/>
          <w:szCs w:val="24"/>
          <w:lang w:val="fr-FR"/>
        </w:rPr>
      </w:pPr>
      <w:r w:rsidRPr="00114283">
        <w:rPr>
          <w:rFonts w:eastAsiaTheme="minorEastAsia"/>
          <w:sz w:val="24"/>
          <w:szCs w:val="24"/>
          <w:lang w:val="fr-FR"/>
        </w:rPr>
        <w:t>La DACP a, pour sa part, reçu 39 demandes d’entraide relatives au blanchiment</w:t>
      </w:r>
      <w:r w:rsidR="00E016F0">
        <w:rPr>
          <w:rFonts w:eastAsiaTheme="minorEastAsia"/>
          <w:sz w:val="24"/>
          <w:szCs w:val="24"/>
          <w:lang w:val="fr-FR"/>
        </w:rPr>
        <w:t xml:space="preserve"> dit</w:t>
      </w:r>
      <w:r w:rsidRPr="00114283">
        <w:rPr>
          <w:rFonts w:eastAsiaTheme="minorEastAsia"/>
          <w:sz w:val="24"/>
          <w:szCs w:val="24"/>
          <w:lang w:val="fr-FR"/>
        </w:rPr>
        <w:t xml:space="preserve"> autonome sur la période de juin 2022 à janvier 2025, et en a transmis 11 à l’étranger.</w:t>
      </w:r>
    </w:p>
    <w:p w14:paraId="1AB27178" w14:textId="25EE8475" w:rsidR="002207EC" w:rsidRPr="000E6CAC" w:rsidRDefault="00AB0F8C" w:rsidP="00DD206B">
      <w:pPr>
        <w:pStyle w:val="APPara"/>
        <w:spacing w:line="360" w:lineRule="auto"/>
        <w:ind w:right="-58"/>
        <w:rPr>
          <w:rFonts w:eastAsiaTheme="minorEastAsia"/>
          <w:sz w:val="24"/>
          <w:szCs w:val="24"/>
          <w:lang w:val="fr-FR"/>
        </w:rPr>
      </w:pPr>
      <w:r w:rsidRPr="000E6CAC">
        <w:rPr>
          <w:rFonts w:eastAsiaTheme="minorEastAsia"/>
          <w:sz w:val="24"/>
          <w:szCs w:val="24"/>
          <w:lang w:val="fr-FR"/>
        </w:rPr>
        <w:t xml:space="preserve">D’octobre 2020 à juillet 2025, </w:t>
      </w:r>
      <w:r w:rsidR="002207EC" w:rsidRPr="000E6CAC">
        <w:rPr>
          <w:rFonts w:eastAsiaTheme="minorEastAsia"/>
          <w:sz w:val="24"/>
          <w:szCs w:val="24"/>
          <w:lang w:val="fr-FR"/>
        </w:rPr>
        <w:t>Le PPEF a reçu 3</w:t>
      </w:r>
      <w:r w:rsidRPr="000E6CAC">
        <w:rPr>
          <w:rFonts w:eastAsiaTheme="minorEastAsia"/>
          <w:sz w:val="24"/>
          <w:szCs w:val="24"/>
          <w:lang w:val="fr-FR"/>
        </w:rPr>
        <w:t>5</w:t>
      </w:r>
      <w:r w:rsidR="002207EC" w:rsidRPr="000E6CAC">
        <w:rPr>
          <w:rFonts w:eastAsiaTheme="minorEastAsia"/>
          <w:sz w:val="24"/>
          <w:szCs w:val="24"/>
          <w:lang w:val="fr-FR"/>
        </w:rPr>
        <w:t xml:space="preserve"> dossiers relatifs au blanchiment </w:t>
      </w:r>
      <w:r w:rsidR="00E016F0" w:rsidRPr="000E6CAC">
        <w:rPr>
          <w:rFonts w:eastAsiaTheme="minorEastAsia"/>
          <w:sz w:val="24"/>
          <w:szCs w:val="24"/>
          <w:lang w:val="fr-FR"/>
        </w:rPr>
        <w:t xml:space="preserve">dit </w:t>
      </w:r>
      <w:r w:rsidR="002207EC" w:rsidRPr="000E6CAC">
        <w:rPr>
          <w:rFonts w:eastAsiaTheme="minorEastAsia"/>
          <w:sz w:val="24"/>
          <w:szCs w:val="24"/>
          <w:lang w:val="fr-FR"/>
        </w:rPr>
        <w:t>autonome</w:t>
      </w:r>
      <w:r w:rsidRPr="000E6CAC">
        <w:rPr>
          <w:rFonts w:eastAsiaTheme="minorEastAsia"/>
          <w:sz w:val="24"/>
          <w:szCs w:val="24"/>
          <w:lang w:val="fr-FR"/>
        </w:rPr>
        <w:t xml:space="preserve"> concernant 87 personnes physiques et 32 personnes morales</w:t>
      </w:r>
      <w:r w:rsidR="002207EC" w:rsidRPr="000E6CAC">
        <w:rPr>
          <w:rFonts w:eastAsiaTheme="minorEastAsia"/>
          <w:sz w:val="24"/>
          <w:szCs w:val="24"/>
          <w:lang w:val="fr-FR"/>
        </w:rPr>
        <w:t>. Par ailleurs, entre septembre 2024 et février 2025, le PPEF a adressé 5 demandes d’informations à la CENTIF.</w:t>
      </w:r>
    </w:p>
    <w:p w14:paraId="40C51926" w14:textId="51D3F1E0" w:rsidR="002207EC" w:rsidRPr="00114283" w:rsidRDefault="002207EC" w:rsidP="00DD206B">
      <w:pPr>
        <w:pStyle w:val="APPara"/>
        <w:spacing w:line="360" w:lineRule="auto"/>
        <w:ind w:right="-58"/>
        <w:rPr>
          <w:rFonts w:eastAsiaTheme="minorEastAsia"/>
          <w:sz w:val="24"/>
          <w:szCs w:val="24"/>
          <w:lang w:val="fr-FR"/>
        </w:rPr>
      </w:pPr>
      <w:r w:rsidRPr="00114283">
        <w:rPr>
          <w:rFonts w:eastAsiaTheme="minorEastAsia"/>
          <w:sz w:val="24"/>
          <w:szCs w:val="24"/>
          <w:lang w:val="fr-FR"/>
        </w:rPr>
        <w:lastRenderedPageBreak/>
        <w:t xml:space="preserve">NB : </w:t>
      </w:r>
      <w:r w:rsidR="00E016F0">
        <w:rPr>
          <w:rFonts w:eastAsiaTheme="minorEastAsia"/>
          <w:sz w:val="24"/>
          <w:szCs w:val="24"/>
          <w:lang w:val="fr-FR"/>
        </w:rPr>
        <w:t>La</w:t>
      </w:r>
      <w:r w:rsidRPr="00114283">
        <w:rPr>
          <w:rFonts w:eastAsiaTheme="minorEastAsia"/>
          <w:sz w:val="24"/>
          <w:szCs w:val="24"/>
          <w:lang w:val="fr-FR"/>
        </w:rPr>
        <w:t xml:space="preserve"> pratique du PPEF permet de constater que la</w:t>
      </w:r>
      <w:r w:rsidR="006019E9">
        <w:rPr>
          <w:rFonts w:eastAsiaTheme="minorEastAsia"/>
          <w:sz w:val="24"/>
          <w:szCs w:val="24"/>
          <w:lang w:val="fr-FR"/>
        </w:rPr>
        <w:t xml:space="preserve"> plupart</w:t>
      </w:r>
      <w:r w:rsidRPr="00114283">
        <w:rPr>
          <w:rFonts w:eastAsiaTheme="minorEastAsia"/>
          <w:sz w:val="24"/>
          <w:szCs w:val="24"/>
          <w:lang w:val="fr-FR"/>
        </w:rPr>
        <w:t xml:space="preserve"> des cas dits de blanchiment autonome</w:t>
      </w:r>
      <w:r w:rsidR="00E016F0">
        <w:rPr>
          <w:rFonts w:eastAsiaTheme="minorEastAsia"/>
          <w:sz w:val="24"/>
          <w:szCs w:val="24"/>
          <w:lang w:val="fr-FR"/>
        </w:rPr>
        <w:t xml:space="preserve"> </w:t>
      </w:r>
      <w:r w:rsidR="006019E9">
        <w:rPr>
          <w:rFonts w:eastAsiaTheme="minorEastAsia"/>
          <w:sz w:val="24"/>
          <w:szCs w:val="24"/>
          <w:lang w:val="fr-FR"/>
        </w:rPr>
        <w:t>font</w:t>
      </w:r>
      <w:r w:rsidR="00E016F0">
        <w:rPr>
          <w:rFonts w:eastAsiaTheme="minorEastAsia"/>
          <w:sz w:val="24"/>
          <w:szCs w:val="24"/>
          <w:lang w:val="fr-FR"/>
        </w:rPr>
        <w:t xml:space="preserve"> l’objet d’enquête</w:t>
      </w:r>
      <w:r w:rsidR="006019E9">
        <w:rPr>
          <w:rFonts w:eastAsiaTheme="minorEastAsia"/>
          <w:sz w:val="24"/>
          <w:szCs w:val="24"/>
          <w:lang w:val="fr-FR"/>
        </w:rPr>
        <w:t>s</w:t>
      </w:r>
      <w:r w:rsidR="00E016F0">
        <w:rPr>
          <w:rFonts w:eastAsiaTheme="minorEastAsia"/>
          <w:sz w:val="24"/>
          <w:szCs w:val="24"/>
          <w:lang w:val="fr-FR"/>
        </w:rPr>
        <w:t xml:space="preserve"> approfondie</w:t>
      </w:r>
      <w:r w:rsidR="006019E9">
        <w:rPr>
          <w:rFonts w:eastAsiaTheme="minorEastAsia"/>
          <w:sz w:val="24"/>
          <w:szCs w:val="24"/>
          <w:lang w:val="fr-FR"/>
        </w:rPr>
        <w:t>s</w:t>
      </w:r>
      <w:r w:rsidR="00E016F0">
        <w:rPr>
          <w:rFonts w:eastAsiaTheme="minorEastAsia"/>
          <w:sz w:val="24"/>
          <w:szCs w:val="24"/>
          <w:lang w:val="fr-FR"/>
        </w:rPr>
        <w:t xml:space="preserve"> </w:t>
      </w:r>
      <w:r w:rsidR="006019E9">
        <w:rPr>
          <w:rFonts w:eastAsiaTheme="minorEastAsia"/>
          <w:sz w:val="24"/>
          <w:szCs w:val="24"/>
          <w:lang w:val="fr-FR"/>
        </w:rPr>
        <w:t>et finissent par être</w:t>
      </w:r>
      <w:r w:rsidR="00E016F0">
        <w:rPr>
          <w:rFonts w:eastAsiaTheme="minorEastAsia"/>
          <w:sz w:val="24"/>
          <w:szCs w:val="24"/>
          <w:lang w:val="fr-FR"/>
        </w:rPr>
        <w:t xml:space="preserve"> li</w:t>
      </w:r>
      <w:r w:rsidR="006019E9">
        <w:rPr>
          <w:rFonts w:eastAsiaTheme="minorEastAsia"/>
          <w:sz w:val="24"/>
          <w:szCs w:val="24"/>
          <w:lang w:val="fr-FR"/>
        </w:rPr>
        <w:t>é</w:t>
      </w:r>
      <w:r w:rsidR="00DD07FA">
        <w:rPr>
          <w:rFonts w:eastAsiaTheme="minorEastAsia"/>
          <w:sz w:val="24"/>
          <w:szCs w:val="24"/>
          <w:lang w:val="fr-FR"/>
        </w:rPr>
        <w:t>s</w:t>
      </w:r>
      <w:r w:rsidR="00E016F0">
        <w:rPr>
          <w:rFonts w:eastAsiaTheme="minorEastAsia"/>
          <w:sz w:val="24"/>
          <w:szCs w:val="24"/>
          <w:lang w:val="fr-FR"/>
        </w:rPr>
        <w:t xml:space="preserve"> à des infractions sous-jacentes</w:t>
      </w:r>
      <w:r w:rsidR="006019E9">
        <w:rPr>
          <w:rFonts w:eastAsiaTheme="minorEastAsia"/>
          <w:sz w:val="24"/>
          <w:szCs w:val="24"/>
          <w:lang w:val="fr-FR"/>
        </w:rPr>
        <w:t>.</w:t>
      </w:r>
      <w:r w:rsidR="00A034C7">
        <w:rPr>
          <w:rFonts w:eastAsiaTheme="minorEastAsia"/>
          <w:sz w:val="24"/>
          <w:szCs w:val="24"/>
          <w:lang w:val="fr-FR"/>
        </w:rPr>
        <w:t xml:space="preserve"> </w:t>
      </w:r>
      <w:r w:rsidR="006019E9">
        <w:rPr>
          <w:rFonts w:eastAsiaTheme="minorEastAsia"/>
          <w:sz w:val="24"/>
          <w:szCs w:val="24"/>
          <w:lang w:val="fr-FR"/>
        </w:rPr>
        <w:t xml:space="preserve">Ce </w:t>
      </w:r>
      <w:r w:rsidRPr="00114283">
        <w:rPr>
          <w:rFonts w:eastAsiaTheme="minorEastAsia"/>
          <w:sz w:val="24"/>
          <w:szCs w:val="24"/>
          <w:lang w:val="fr-FR"/>
        </w:rPr>
        <w:t>qui contribue à minimiser les cas de BC considérés comme « autonomes ».</w:t>
      </w:r>
    </w:p>
    <w:p w14:paraId="51379A0B" w14:textId="4AF2FD62" w:rsidR="00640939" w:rsidRPr="00114283" w:rsidRDefault="002207EC" w:rsidP="00DD206B">
      <w:pPr>
        <w:pStyle w:val="APPara"/>
        <w:spacing w:line="360" w:lineRule="auto"/>
        <w:ind w:right="-58"/>
        <w:rPr>
          <w:sz w:val="24"/>
          <w:szCs w:val="24"/>
          <w:lang w:val="fr-CI"/>
        </w:rPr>
      </w:pPr>
      <w:r w:rsidRPr="000E6CAC">
        <w:rPr>
          <w:rFonts w:eastAsiaTheme="minorEastAsia"/>
          <w:sz w:val="24"/>
          <w:szCs w:val="24"/>
          <w:lang w:val="fr-FR"/>
        </w:rPr>
        <w:t xml:space="preserve">De ce qui précède, le niveau de la menace de blanchiment </w:t>
      </w:r>
      <w:r w:rsidR="006019E9" w:rsidRPr="000E6CAC">
        <w:rPr>
          <w:rFonts w:eastAsiaTheme="minorEastAsia"/>
          <w:sz w:val="24"/>
          <w:szCs w:val="24"/>
          <w:lang w:val="fr-FR"/>
        </w:rPr>
        <w:t xml:space="preserve">dit </w:t>
      </w:r>
      <w:r w:rsidRPr="000E6CAC">
        <w:rPr>
          <w:rFonts w:eastAsiaTheme="minorEastAsia"/>
          <w:sz w:val="24"/>
          <w:szCs w:val="24"/>
          <w:lang w:val="fr-FR"/>
        </w:rPr>
        <w:t xml:space="preserve">autonome est </w:t>
      </w:r>
      <w:r w:rsidRPr="000E6CAC">
        <w:rPr>
          <w:rFonts w:eastAsiaTheme="minorEastAsia"/>
          <w:b/>
          <w:bCs/>
          <w:sz w:val="24"/>
          <w:szCs w:val="24"/>
          <w:lang w:val="fr-FR"/>
        </w:rPr>
        <w:t>« faible »</w:t>
      </w:r>
      <w:r w:rsidRPr="000E6CAC">
        <w:rPr>
          <w:rFonts w:eastAsiaTheme="minorEastAsia"/>
          <w:sz w:val="24"/>
          <w:szCs w:val="24"/>
          <w:lang w:val="fr-FR"/>
        </w:rPr>
        <w:t>.</w:t>
      </w:r>
    </w:p>
    <w:p w14:paraId="4E86FBAD" w14:textId="255F3F2A" w:rsidR="00B17513" w:rsidRDefault="00B17513" w:rsidP="00DD206B">
      <w:pPr>
        <w:tabs>
          <w:tab w:val="left" w:pos="567"/>
        </w:tabs>
        <w:spacing w:before="240" w:after="120" w:line="360" w:lineRule="auto"/>
        <w:jc w:val="both"/>
        <w:rPr>
          <w:sz w:val="22"/>
          <w:szCs w:val="22"/>
        </w:rPr>
      </w:pPr>
    </w:p>
    <w:tbl>
      <w:tblPr>
        <w:tblStyle w:val="TableNormal"/>
        <w:tblW w:w="90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E8E8E8" w:themeFill="background2"/>
        <w:tblLayout w:type="fixed"/>
        <w:tblLook w:val="01E0" w:firstRow="1" w:lastRow="1" w:firstColumn="1" w:lastColumn="1" w:noHBand="0" w:noVBand="0"/>
      </w:tblPr>
      <w:tblGrid>
        <w:gridCol w:w="9093"/>
      </w:tblGrid>
      <w:tr w:rsidR="00FB5A81" w:rsidRPr="00A86A24" w14:paraId="3C86188D" w14:textId="77777777" w:rsidTr="00AC5A9F">
        <w:trPr>
          <w:trHeight w:val="517"/>
        </w:trPr>
        <w:tc>
          <w:tcPr>
            <w:tcW w:w="9093" w:type="dxa"/>
            <w:shd w:val="clear" w:color="auto" w:fill="E8E8E8" w:themeFill="background2"/>
          </w:tcPr>
          <w:p w14:paraId="1BE3A0B9" w14:textId="61A5599F" w:rsidR="00FB5A81" w:rsidRPr="00A86A24" w:rsidRDefault="00FB5A81" w:rsidP="00AC5A9F">
            <w:pPr>
              <w:pStyle w:val="TableParagraph"/>
              <w:spacing w:before="142" w:line="360" w:lineRule="auto"/>
              <w:ind w:left="112"/>
              <w:jc w:val="both"/>
              <w:rPr>
                <w:b/>
                <w:u w:val="single"/>
                <w:lang w:val="fr-CI"/>
              </w:rPr>
            </w:pPr>
            <w:r w:rsidRPr="00A86A24">
              <w:rPr>
                <w:b/>
                <w:u w:val="single"/>
                <w:lang w:val="fr-CI"/>
              </w:rPr>
              <w:t xml:space="preserve">Cas </w:t>
            </w:r>
            <w:r w:rsidR="0046548A">
              <w:rPr>
                <w:b/>
                <w:u w:val="single"/>
                <w:lang w:val="fr-CI"/>
              </w:rPr>
              <w:t>11</w:t>
            </w:r>
            <w:r w:rsidRPr="00A86A24">
              <w:rPr>
                <w:b/>
                <w:u w:val="single"/>
                <w:lang w:val="fr-CI"/>
              </w:rPr>
              <w:t xml:space="preserve"> : Blanchiment d'argent dit autonome </w:t>
            </w:r>
          </w:p>
          <w:p w14:paraId="06999DC5" w14:textId="77777777" w:rsidR="00FB5A81" w:rsidRPr="00A86A24" w:rsidRDefault="00FB5A81" w:rsidP="00AC5A9F">
            <w:pPr>
              <w:pStyle w:val="TableParagraph"/>
              <w:spacing w:before="142" w:line="360" w:lineRule="auto"/>
              <w:ind w:left="91" w:right="95"/>
              <w:jc w:val="both"/>
              <w:rPr>
                <w:lang w:val="fr-CI"/>
              </w:rPr>
            </w:pPr>
            <w:r w:rsidRPr="00A86A24">
              <w:rPr>
                <w:lang w:val="fr-CI"/>
              </w:rPr>
              <w:t>En juillet 2024, la CENTIF, soupçonnant la commission d'une fraude fiscale, suite à la réception d'une DOD, a procédé à un examen détaillé des opérations bancaires d'une personne morale de la SARLU, sur une période d'un an.</w:t>
            </w:r>
          </w:p>
          <w:p w14:paraId="4E4649C2" w14:textId="77777777" w:rsidR="00FB5A81" w:rsidRPr="00A86A24" w:rsidRDefault="00FB5A81" w:rsidP="00AC5A9F">
            <w:pPr>
              <w:pStyle w:val="TableParagraph"/>
              <w:spacing w:before="120" w:line="360" w:lineRule="auto"/>
              <w:ind w:left="91" w:right="89"/>
              <w:jc w:val="both"/>
              <w:rPr>
                <w:lang w:val="fr-CI"/>
              </w:rPr>
            </w:pPr>
            <w:r w:rsidRPr="00A86A24">
              <w:rPr>
                <w:lang w:val="fr-CI"/>
              </w:rPr>
              <w:t>L'analyse a révélé que la société, spécialisée dans la vente de cosmétiques, de matériaux de construction, de consommables et d'import-export, a été créée en 2021 et déclarée sous le régime de l'impôt sur l'entrepreneur, réservé aux contribuables dont le chiffre d'affaires n'excède pas 50 000 000 FCFA.</w:t>
            </w:r>
          </w:p>
          <w:p w14:paraId="79888458" w14:textId="77777777" w:rsidR="00FB5A81" w:rsidRPr="00A86A24" w:rsidRDefault="00FB5A81" w:rsidP="00AC5A9F">
            <w:pPr>
              <w:pStyle w:val="TableParagraph"/>
              <w:spacing w:before="119" w:line="360" w:lineRule="auto"/>
              <w:ind w:left="91" w:right="79"/>
              <w:jc w:val="both"/>
              <w:rPr>
                <w:lang w:val="fr-CI"/>
              </w:rPr>
            </w:pPr>
            <w:r w:rsidRPr="00A86A24">
              <w:rPr>
                <w:lang w:val="fr-CI"/>
              </w:rPr>
              <w:t xml:space="preserve">Le gérant et associé unique a ouvert un compte au nom de la société, déclarant un chiffre d'affaires mensuel prévisionnel de 150 000 000 FCFA. Bien que seulement 500 000 FCFA aient été crédités sur le compte dans les 6 mois qui ont suivi son ouverture, </w:t>
            </w:r>
            <w:r w:rsidRPr="00A86A24">
              <w:rPr>
                <w:b/>
                <w:lang w:val="fr-CI"/>
              </w:rPr>
              <w:t xml:space="preserve">sur une période de 2 mois et demi, plusieurs versements en espèces </w:t>
            </w:r>
            <w:r w:rsidRPr="00A86A24">
              <w:rPr>
                <w:lang w:val="fr-CI"/>
              </w:rPr>
              <w:t xml:space="preserve">ont été effectués </w:t>
            </w:r>
            <w:r w:rsidRPr="00A86A24">
              <w:rPr>
                <w:b/>
                <w:lang w:val="fr-CI"/>
              </w:rPr>
              <w:t xml:space="preserve">sur le </w:t>
            </w:r>
            <w:r w:rsidRPr="00A86A24">
              <w:rPr>
                <w:lang w:val="fr-CI"/>
              </w:rPr>
              <w:t>compte</w:t>
            </w:r>
            <w:r w:rsidRPr="00A86A24">
              <w:rPr>
                <w:b/>
                <w:lang w:val="fr-CI"/>
              </w:rPr>
              <w:t xml:space="preserve">, totalisant 12 033 500 000 FCFA (18 344 952 €). </w:t>
            </w:r>
            <w:r w:rsidRPr="00A86A24">
              <w:rPr>
                <w:lang w:val="fr-CI"/>
              </w:rPr>
              <w:t>Ces paiements ont été systématiquement suivis de retraits ou de transferts d'espèces importants vers des comptes dans des pays étrangers en Asie, au Moyen-Orient et dans deux pays d'Afrique de l'Ouest.</w:t>
            </w:r>
          </w:p>
          <w:p w14:paraId="054A2141" w14:textId="77777777" w:rsidR="00FB5A81" w:rsidRPr="00A86A24" w:rsidRDefault="00FB5A81" w:rsidP="00AC5A9F">
            <w:pPr>
              <w:pStyle w:val="TableParagraph"/>
              <w:spacing w:before="120" w:line="360" w:lineRule="auto"/>
              <w:ind w:left="91" w:right="92"/>
              <w:jc w:val="both"/>
              <w:rPr>
                <w:lang w:val="fr-CI"/>
              </w:rPr>
            </w:pPr>
            <w:r w:rsidRPr="00A86A24">
              <w:rPr>
                <w:lang w:val="fr-CI"/>
              </w:rPr>
              <w:t>De plus, contrairement aux motifs invoqués pour effectuer ces transferts, l'administration des douanes n'avait enregistré dans sa base de données aucune importation de marchandises pour la société concernée.</w:t>
            </w:r>
          </w:p>
          <w:p w14:paraId="07EA62B4" w14:textId="77777777" w:rsidR="00FB5A81" w:rsidRPr="00A86A24" w:rsidRDefault="00FB5A81" w:rsidP="00AC5A9F">
            <w:pPr>
              <w:pStyle w:val="TableParagraph"/>
              <w:spacing w:before="122" w:line="360" w:lineRule="auto"/>
              <w:ind w:left="91" w:right="94"/>
              <w:jc w:val="both"/>
              <w:rPr>
                <w:lang w:val="fr-CI"/>
              </w:rPr>
            </w:pPr>
            <w:r w:rsidRPr="00A86A24">
              <w:rPr>
                <w:lang w:val="fr-CI"/>
              </w:rPr>
              <w:t>Saisis du PPEF le 22 juillet 2024, la SARLU et son dirigeant ont été poursuivis pour blanchiment de capitaux autonome.</w:t>
            </w:r>
          </w:p>
          <w:p w14:paraId="45D94DAF" w14:textId="77777777" w:rsidR="00FB5A81" w:rsidRPr="00A86A24" w:rsidRDefault="00FB5A81" w:rsidP="00AC5A9F">
            <w:pPr>
              <w:pStyle w:val="TableParagraph"/>
              <w:spacing w:before="142" w:line="360" w:lineRule="auto"/>
              <w:ind w:left="112"/>
              <w:jc w:val="both"/>
              <w:rPr>
                <w:lang w:val="fr-CI"/>
              </w:rPr>
            </w:pPr>
            <w:r w:rsidRPr="00A86A24">
              <w:rPr>
                <w:lang w:val="fr-CI"/>
              </w:rPr>
              <w:t>Par ailleurs, des demandes d'entraide judiciaire ont été adressées aux pays étrangers concernés le 28 février 2025 aux fins d'identifier les titulaires des comptes bancaires ayant reçu les virements frauduleux, et d'interroger, en tant que suspects, ces titulaires de comptes et autres bénéficiaires effectifs identifiés sur la nature des liens qui les unissent au dirigeant de la personne morale de la SARLU, et de saisir tous les avoirs criminels identifiés.</w:t>
            </w:r>
          </w:p>
        </w:tc>
      </w:tr>
    </w:tbl>
    <w:p w14:paraId="393E6EE6" w14:textId="580C0F1B" w:rsidR="00FB5A81" w:rsidRPr="00717CB7" w:rsidRDefault="00E25042" w:rsidP="00717CB7">
      <w:pPr>
        <w:tabs>
          <w:tab w:val="left" w:pos="567"/>
        </w:tabs>
        <w:spacing w:before="240" w:after="120" w:line="360" w:lineRule="auto"/>
        <w:contextualSpacing/>
        <w:jc w:val="center"/>
        <w:rPr>
          <w:rFonts w:cs="Times New Roman"/>
          <w:b/>
          <w:bCs/>
          <w:i/>
          <w:iCs/>
          <w:sz w:val="22"/>
          <w:szCs w:val="22"/>
        </w:rPr>
      </w:pPr>
      <w:r>
        <w:rPr>
          <w:rFonts w:cs="Times New Roman"/>
          <w:b/>
          <w:bCs/>
          <w:i/>
          <w:iCs/>
          <w:sz w:val="22"/>
          <w:szCs w:val="22"/>
        </w:rPr>
        <w:t>(</w:t>
      </w:r>
      <w:r w:rsidRPr="00AA6921">
        <w:rPr>
          <w:rFonts w:cs="Times New Roman"/>
          <w:b/>
          <w:bCs/>
          <w:i/>
          <w:iCs/>
          <w:sz w:val="22"/>
          <w:szCs w:val="22"/>
        </w:rPr>
        <w:t xml:space="preserve">Les autres cas concrets concernant </w:t>
      </w:r>
      <w:r>
        <w:rPr>
          <w:rFonts w:cs="Times New Roman"/>
          <w:b/>
          <w:bCs/>
          <w:i/>
          <w:iCs/>
          <w:sz w:val="22"/>
          <w:szCs w:val="22"/>
        </w:rPr>
        <w:t>BC dit autonome</w:t>
      </w:r>
      <w:r w:rsidRPr="00AA6921">
        <w:rPr>
          <w:rFonts w:cs="Times New Roman"/>
          <w:b/>
          <w:bCs/>
          <w:i/>
          <w:iCs/>
          <w:sz w:val="22"/>
          <w:szCs w:val="22"/>
        </w:rPr>
        <w:t xml:space="preserve"> sont en annexe.</w:t>
      </w:r>
      <w:r>
        <w:rPr>
          <w:rFonts w:cs="Times New Roman"/>
          <w:b/>
          <w:bCs/>
          <w:i/>
          <w:iCs/>
          <w:sz w:val="22"/>
          <w:szCs w:val="22"/>
        </w:rPr>
        <w:t>)</w:t>
      </w:r>
    </w:p>
    <w:p w14:paraId="0A328440" w14:textId="24876E4F" w:rsidR="00721AF0" w:rsidRPr="00721AF0" w:rsidRDefault="006779CF" w:rsidP="00DD206B">
      <w:pPr>
        <w:pStyle w:val="Titre2"/>
        <w:rPr>
          <w:sz w:val="22"/>
        </w:rPr>
      </w:pPr>
      <w:bookmarkStart w:id="16" w:name="_Hlk211008170"/>
      <w:bookmarkStart w:id="17" w:name="_Toc213326901"/>
      <w:r w:rsidRPr="008F704B">
        <w:rPr>
          <w:sz w:val="22"/>
        </w:rPr>
        <w:lastRenderedPageBreak/>
        <w:t>EVALUATION DE LA MENACE SELON LE</w:t>
      </w:r>
      <w:r w:rsidR="00721AF0">
        <w:rPr>
          <w:sz w:val="22"/>
        </w:rPr>
        <w:t>S</w:t>
      </w:r>
      <w:r w:rsidRPr="008F704B">
        <w:rPr>
          <w:sz w:val="22"/>
        </w:rPr>
        <w:t xml:space="preserve"> SECTEUR</w:t>
      </w:r>
      <w:r w:rsidR="00721AF0">
        <w:rPr>
          <w:sz w:val="22"/>
        </w:rPr>
        <w:t>S</w:t>
      </w:r>
      <w:r w:rsidRPr="008F704B">
        <w:rPr>
          <w:sz w:val="22"/>
        </w:rPr>
        <w:t xml:space="preserve"> </w:t>
      </w:r>
      <w:r w:rsidR="00721AF0">
        <w:rPr>
          <w:sz w:val="22"/>
        </w:rPr>
        <w:t>ASSUJETTIS</w:t>
      </w:r>
      <w:bookmarkEnd w:id="17"/>
    </w:p>
    <w:p w14:paraId="1168C242" w14:textId="77FCADDE" w:rsidR="00E57C1A" w:rsidRPr="008F704B" w:rsidRDefault="00824D75" w:rsidP="00DD206B">
      <w:pPr>
        <w:pStyle w:val="Titre3"/>
        <w:rPr>
          <w:sz w:val="22"/>
        </w:rPr>
      </w:pPr>
      <w:bookmarkStart w:id="18" w:name="_Toc213326902"/>
      <w:bookmarkEnd w:id="16"/>
      <w:r w:rsidRPr="008F704B">
        <w:rPr>
          <w:sz w:val="22"/>
        </w:rPr>
        <w:t>Evaluation</w:t>
      </w:r>
      <w:r w:rsidR="00E57C1A" w:rsidRPr="008F704B">
        <w:rPr>
          <w:sz w:val="22"/>
        </w:rPr>
        <w:t xml:space="preserve"> de la menace liée au secteur Bancaire</w:t>
      </w:r>
      <w:bookmarkEnd w:id="18"/>
    </w:p>
    <w:p w14:paraId="7029B407" w14:textId="6F6A28AD" w:rsidR="003B61E3" w:rsidRPr="00187C0D" w:rsidRDefault="003B61E3" w:rsidP="00DD206B">
      <w:pPr>
        <w:pStyle w:val="NormalWeb"/>
        <w:spacing w:line="360" w:lineRule="auto"/>
        <w:jc w:val="both"/>
        <w:rPr>
          <w:lang w:val="fr-CI"/>
        </w:rPr>
      </w:pPr>
      <w:r w:rsidRPr="00187C0D">
        <w:rPr>
          <w:lang w:val="fr-CI"/>
        </w:rPr>
        <w:t xml:space="preserve">Le secteur bancaire ivoirien, composé de </w:t>
      </w:r>
      <w:r w:rsidRPr="00187C0D">
        <w:rPr>
          <w:rStyle w:val="lev"/>
          <w:rFonts w:eastAsiaTheme="majorEastAsia"/>
          <w:b w:val="0"/>
          <w:bCs w:val="0"/>
          <w:lang w:val="fr-CI"/>
        </w:rPr>
        <w:t>32 banques et établissements financiers</w:t>
      </w:r>
      <w:r w:rsidRPr="00187C0D">
        <w:rPr>
          <w:lang w:val="fr-CI"/>
        </w:rPr>
        <w:t xml:space="preserve">, se positionne comme un élément important de l’économie nationale mais également comme un </w:t>
      </w:r>
      <w:r w:rsidRPr="00187C0D">
        <w:rPr>
          <w:rStyle w:val="lev"/>
          <w:rFonts w:eastAsiaTheme="majorEastAsia"/>
          <w:b w:val="0"/>
          <w:bCs w:val="0"/>
          <w:lang w:val="fr-CI"/>
        </w:rPr>
        <w:t>canal</w:t>
      </w:r>
      <w:r w:rsidRPr="00187C0D">
        <w:rPr>
          <w:rStyle w:val="lev"/>
          <w:rFonts w:eastAsiaTheme="majorEastAsia"/>
          <w:lang w:val="fr-CI"/>
        </w:rPr>
        <w:t xml:space="preserve"> </w:t>
      </w:r>
      <w:r w:rsidRPr="00187C0D">
        <w:rPr>
          <w:rStyle w:val="lev"/>
          <w:rFonts w:eastAsiaTheme="majorEastAsia"/>
          <w:b w:val="0"/>
          <w:bCs w:val="0"/>
          <w:lang w:val="fr-CI"/>
        </w:rPr>
        <w:t>potentiellement privilégié des activités de BC</w:t>
      </w:r>
      <w:r w:rsidRPr="00187C0D">
        <w:rPr>
          <w:lang w:val="fr-CI"/>
        </w:rPr>
        <w:t>. Si l’ENR</w:t>
      </w:r>
      <w:r w:rsidR="00A0135C" w:rsidRPr="00187C0D">
        <w:rPr>
          <w:lang w:val="fr-CI"/>
        </w:rPr>
        <w:t xml:space="preserve"> avait </w:t>
      </w:r>
      <w:r w:rsidR="0030385F" w:rsidRPr="00187C0D">
        <w:rPr>
          <w:lang w:val="fr-CI"/>
        </w:rPr>
        <w:t>révélé</w:t>
      </w:r>
      <w:r w:rsidRPr="00187C0D">
        <w:rPr>
          <w:lang w:val="fr-CI"/>
        </w:rPr>
        <w:t xml:space="preserve"> auparavant une menace « moyennement élevée », les données et constats récents montrent une </w:t>
      </w:r>
      <w:r w:rsidRPr="00187C0D">
        <w:rPr>
          <w:rStyle w:val="lev"/>
          <w:rFonts w:eastAsiaTheme="majorEastAsia"/>
          <w:b w:val="0"/>
          <w:bCs w:val="0"/>
          <w:lang w:val="fr-CI"/>
        </w:rPr>
        <w:t>a</w:t>
      </w:r>
      <w:r w:rsidR="00A0135C" w:rsidRPr="00187C0D">
        <w:rPr>
          <w:rStyle w:val="lev"/>
          <w:rFonts w:eastAsiaTheme="majorEastAsia"/>
          <w:b w:val="0"/>
          <w:bCs w:val="0"/>
          <w:lang w:val="fr-CI"/>
        </w:rPr>
        <w:t>ugmentation</w:t>
      </w:r>
      <w:r w:rsidRPr="00187C0D">
        <w:rPr>
          <w:rStyle w:val="lev"/>
          <w:rFonts w:eastAsiaTheme="majorEastAsia"/>
          <w:b w:val="0"/>
          <w:bCs w:val="0"/>
          <w:lang w:val="fr-CI"/>
        </w:rPr>
        <w:t xml:space="preserve"> d</w:t>
      </w:r>
      <w:r w:rsidR="00A0135C" w:rsidRPr="00187C0D">
        <w:rPr>
          <w:rStyle w:val="lev"/>
          <w:rFonts w:eastAsiaTheme="majorEastAsia"/>
          <w:b w:val="0"/>
          <w:bCs w:val="0"/>
          <w:lang w:val="fr-CI"/>
        </w:rPr>
        <w:t>e la menace de BC</w:t>
      </w:r>
      <w:r w:rsidRPr="00187C0D">
        <w:rPr>
          <w:lang w:val="fr-CI"/>
        </w:rPr>
        <w:t>. Cette montée en intensité s’explique autant par les dynamiques économiques que par la sophistication des circuits financiers utilisés par les criminels.</w:t>
      </w:r>
    </w:p>
    <w:p w14:paraId="0AEC61B0" w14:textId="77777777" w:rsidR="003B61E3" w:rsidRPr="00187C0D" w:rsidRDefault="003B61E3" w:rsidP="00DD206B">
      <w:pPr>
        <w:pStyle w:val="NormalWeb"/>
        <w:spacing w:line="360" w:lineRule="auto"/>
        <w:jc w:val="both"/>
        <w:rPr>
          <w:lang w:val="fr-CI"/>
        </w:rPr>
      </w:pPr>
      <w:r w:rsidRPr="00187C0D">
        <w:rPr>
          <w:lang w:val="fr-CI"/>
        </w:rPr>
        <w:t xml:space="preserve">En premier lieu, les pratiques abusives observées demeurent classiques mais redoutablement efficaces. Les </w:t>
      </w:r>
      <w:r w:rsidRPr="00187C0D">
        <w:rPr>
          <w:rStyle w:val="lev"/>
          <w:rFonts w:eastAsiaTheme="majorEastAsia"/>
          <w:b w:val="0"/>
          <w:bCs w:val="0"/>
          <w:lang w:val="fr-CI"/>
        </w:rPr>
        <w:t>dépôts et retraits massifs d’espèces sans justification claire de leur origine ou de leur destination</w:t>
      </w:r>
      <w:r w:rsidRPr="00187C0D">
        <w:rPr>
          <w:lang w:val="fr-CI"/>
        </w:rPr>
        <w:t xml:space="preserve"> continuent de constituer la principale porte d’entrée des fonds illicites dans le système bancaire. Cette situation souligne encore une </w:t>
      </w:r>
      <w:r w:rsidRPr="00187C0D">
        <w:rPr>
          <w:rStyle w:val="lev"/>
          <w:rFonts w:eastAsiaTheme="majorEastAsia"/>
          <w:b w:val="0"/>
          <w:bCs w:val="0"/>
          <w:lang w:val="fr-CI"/>
        </w:rPr>
        <w:t xml:space="preserve">fragilité du dispositif KYC (Know </w:t>
      </w:r>
      <w:proofErr w:type="spellStart"/>
      <w:r w:rsidRPr="00187C0D">
        <w:rPr>
          <w:rStyle w:val="lev"/>
          <w:rFonts w:eastAsiaTheme="majorEastAsia"/>
          <w:b w:val="0"/>
          <w:bCs w:val="0"/>
          <w:lang w:val="fr-CI"/>
        </w:rPr>
        <w:t>Your</w:t>
      </w:r>
      <w:proofErr w:type="spellEnd"/>
      <w:r w:rsidRPr="00187C0D">
        <w:rPr>
          <w:rStyle w:val="lev"/>
          <w:rFonts w:eastAsiaTheme="majorEastAsia"/>
          <w:b w:val="0"/>
          <w:bCs w:val="0"/>
          <w:lang w:val="fr-CI"/>
        </w:rPr>
        <w:t xml:space="preserve"> Customer)</w:t>
      </w:r>
      <w:r w:rsidRPr="00187C0D">
        <w:rPr>
          <w:lang w:val="fr-CI"/>
        </w:rPr>
        <w:t xml:space="preserve"> et des mécanismes de surveillance transactionnelle, malgré les efforts réglementaires engagés.</w:t>
      </w:r>
    </w:p>
    <w:p w14:paraId="296C5B34" w14:textId="77777777" w:rsidR="003B61E3" w:rsidRPr="00187C0D" w:rsidRDefault="003B61E3" w:rsidP="00DD206B">
      <w:pPr>
        <w:pStyle w:val="NormalWeb"/>
        <w:spacing w:line="360" w:lineRule="auto"/>
        <w:jc w:val="both"/>
        <w:rPr>
          <w:lang w:val="fr-CI"/>
        </w:rPr>
      </w:pPr>
      <w:r w:rsidRPr="00187C0D">
        <w:rPr>
          <w:lang w:val="fr-CI"/>
        </w:rPr>
        <w:t xml:space="preserve">Par ailleurs, la </w:t>
      </w:r>
      <w:r w:rsidRPr="00187C0D">
        <w:rPr>
          <w:rStyle w:val="lev"/>
          <w:rFonts w:eastAsiaTheme="majorEastAsia"/>
          <w:b w:val="0"/>
          <w:bCs w:val="0"/>
          <w:lang w:val="fr-CI"/>
        </w:rPr>
        <w:t>croissance économique rapide de la Côte d’Ivoire</w:t>
      </w:r>
      <w:r w:rsidRPr="00187C0D">
        <w:rPr>
          <w:lang w:val="fr-CI"/>
        </w:rPr>
        <w:t xml:space="preserve"> a contribué à intensifier les flux financiers circulant dans le pays. Cette expansion, bien que positive sur le plan du développement, augmente mécaniquement le volume de transactions et crée un environnement propice à la </w:t>
      </w:r>
      <w:r w:rsidRPr="00187C0D">
        <w:rPr>
          <w:rStyle w:val="lev"/>
          <w:rFonts w:eastAsiaTheme="majorEastAsia"/>
          <w:b w:val="0"/>
          <w:bCs w:val="0"/>
          <w:lang w:val="fr-CI"/>
        </w:rPr>
        <w:t>dissimulation d’opérations suspectes</w:t>
      </w:r>
      <w:r w:rsidRPr="00187C0D">
        <w:rPr>
          <w:lang w:val="fr-CI"/>
        </w:rPr>
        <w:t xml:space="preserve">. Les acteurs criminels peuvent ainsi se fondre plus facilement dans la masse des flux légitimes et profiter de l’opacité des transactions complexes, notamment lorsqu’elles impliquent des </w:t>
      </w:r>
      <w:r w:rsidRPr="00187C0D">
        <w:rPr>
          <w:rStyle w:val="lev"/>
          <w:rFonts w:eastAsiaTheme="majorEastAsia"/>
          <w:b w:val="0"/>
          <w:bCs w:val="0"/>
          <w:lang w:val="fr-CI"/>
        </w:rPr>
        <w:t>opérations transfrontalières</w:t>
      </w:r>
      <w:r w:rsidRPr="00187C0D">
        <w:rPr>
          <w:lang w:val="fr-CI"/>
        </w:rPr>
        <w:t xml:space="preserve">. Ces dernières sont particulièrement difficiles à tracer et exposent le secteur bancaire à des risques </w:t>
      </w:r>
      <w:r w:rsidRPr="00187C0D">
        <w:rPr>
          <w:rStyle w:val="lev"/>
          <w:rFonts w:eastAsiaTheme="majorEastAsia"/>
          <w:b w:val="0"/>
          <w:bCs w:val="0"/>
          <w:lang w:val="fr-CI"/>
        </w:rPr>
        <w:t>internationaux et systémiques</w:t>
      </w:r>
      <w:r w:rsidRPr="00187C0D">
        <w:rPr>
          <w:lang w:val="fr-CI"/>
        </w:rPr>
        <w:t>.</w:t>
      </w:r>
    </w:p>
    <w:p w14:paraId="3CF3B18F" w14:textId="77777777" w:rsidR="003B61E3" w:rsidRPr="00187C0D" w:rsidRDefault="003B61E3" w:rsidP="00DD206B">
      <w:pPr>
        <w:pStyle w:val="NormalWeb"/>
        <w:spacing w:line="360" w:lineRule="auto"/>
        <w:jc w:val="both"/>
        <w:rPr>
          <w:lang w:val="fr-CI"/>
        </w:rPr>
      </w:pPr>
      <w:r w:rsidRPr="00187C0D">
        <w:rPr>
          <w:lang w:val="fr-CI"/>
        </w:rPr>
        <w:t xml:space="preserve">L’évolution quantitative des signaux d’alerte vient confirmer cette tendance. Alors que la CENTIF avait traité </w:t>
      </w:r>
      <w:r w:rsidRPr="00187C0D">
        <w:rPr>
          <w:rStyle w:val="lev"/>
          <w:rFonts w:eastAsiaTheme="majorEastAsia"/>
          <w:b w:val="0"/>
          <w:bCs w:val="0"/>
          <w:lang w:val="fr-CI"/>
        </w:rPr>
        <w:t>659 déclarations d’opérations suspectes (DOS) entre 2015 et 2018</w:t>
      </w:r>
      <w:r w:rsidRPr="00187C0D">
        <w:rPr>
          <w:bCs/>
          <w:lang w:val="fr-CI"/>
        </w:rPr>
        <w:t xml:space="preserve">, ce chiffre est monté à </w:t>
      </w:r>
      <w:r w:rsidRPr="00187C0D">
        <w:rPr>
          <w:rStyle w:val="lev"/>
          <w:rFonts w:eastAsiaTheme="majorEastAsia"/>
          <w:b w:val="0"/>
          <w:lang w:val="fr-CI"/>
        </w:rPr>
        <w:t>1 066 entre 2022 et 2024</w:t>
      </w:r>
      <w:r w:rsidRPr="00187C0D">
        <w:rPr>
          <w:bCs/>
          <w:lang w:val="fr-CI"/>
        </w:rPr>
        <w:t xml:space="preserve">, traduisant déjà une intensification. Mais c’est surtout la période récente qui révèle une aggravation préoccupante : entre </w:t>
      </w:r>
      <w:r w:rsidRPr="00187C0D">
        <w:rPr>
          <w:rStyle w:val="lev"/>
          <w:rFonts w:eastAsiaTheme="majorEastAsia"/>
          <w:b w:val="0"/>
          <w:lang w:val="fr-CI"/>
        </w:rPr>
        <w:t>janvier 2023 et juin 2025, 2 083 DOS émanant du seul secteur bancaire</w:t>
      </w:r>
      <w:r w:rsidRPr="00187C0D">
        <w:rPr>
          <w:bCs/>
          <w:lang w:val="fr-CI"/>
        </w:rPr>
        <w:t xml:space="preserve"> ont été reçues, illustrant une </w:t>
      </w:r>
      <w:r w:rsidRPr="00187C0D">
        <w:rPr>
          <w:rStyle w:val="lev"/>
          <w:rFonts w:eastAsiaTheme="majorEastAsia"/>
          <w:b w:val="0"/>
          <w:lang w:val="fr-CI"/>
        </w:rPr>
        <w:t>explosion des</w:t>
      </w:r>
      <w:r w:rsidRPr="00187C0D">
        <w:rPr>
          <w:rStyle w:val="lev"/>
          <w:rFonts w:eastAsiaTheme="majorEastAsia"/>
          <w:lang w:val="fr-CI"/>
        </w:rPr>
        <w:t xml:space="preserve"> </w:t>
      </w:r>
      <w:r w:rsidRPr="00187C0D">
        <w:rPr>
          <w:rStyle w:val="lev"/>
          <w:rFonts w:eastAsiaTheme="majorEastAsia"/>
          <w:b w:val="0"/>
          <w:bCs w:val="0"/>
          <w:lang w:val="fr-CI"/>
        </w:rPr>
        <w:t>alertes en un laps de temps réduit</w:t>
      </w:r>
      <w:r w:rsidRPr="00187C0D">
        <w:rPr>
          <w:lang w:val="fr-CI"/>
        </w:rPr>
        <w:t xml:space="preserve">. Cette évolution démontre à la fois une </w:t>
      </w:r>
      <w:r w:rsidRPr="00187C0D">
        <w:rPr>
          <w:rStyle w:val="lev"/>
          <w:rFonts w:eastAsiaTheme="majorEastAsia"/>
          <w:b w:val="0"/>
          <w:bCs w:val="0"/>
          <w:lang w:val="fr-CI"/>
        </w:rPr>
        <w:t>meilleure capacité de détection</w:t>
      </w:r>
      <w:r w:rsidRPr="00187C0D">
        <w:rPr>
          <w:lang w:val="fr-CI"/>
        </w:rPr>
        <w:t xml:space="preserve"> et une </w:t>
      </w:r>
      <w:r w:rsidRPr="00187C0D">
        <w:rPr>
          <w:rStyle w:val="lev"/>
          <w:rFonts w:eastAsiaTheme="majorEastAsia"/>
          <w:b w:val="0"/>
          <w:bCs w:val="0"/>
          <w:lang w:val="fr-CI"/>
        </w:rPr>
        <w:t>concentration accrue des risques sur le secteur bancaire</w:t>
      </w:r>
      <w:r w:rsidRPr="00187C0D">
        <w:rPr>
          <w:lang w:val="fr-CI"/>
        </w:rPr>
        <w:t>.</w:t>
      </w:r>
    </w:p>
    <w:p w14:paraId="5E68BADE" w14:textId="52D403D2" w:rsidR="003B61E3" w:rsidRPr="00187C0D" w:rsidRDefault="003B61E3" w:rsidP="00DD206B">
      <w:pPr>
        <w:pStyle w:val="NormalWeb"/>
        <w:spacing w:line="360" w:lineRule="auto"/>
        <w:jc w:val="both"/>
        <w:rPr>
          <w:lang w:val="fr-CI"/>
        </w:rPr>
      </w:pPr>
      <w:r w:rsidRPr="00187C0D">
        <w:rPr>
          <w:lang w:val="fr-CI"/>
        </w:rPr>
        <w:lastRenderedPageBreak/>
        <w:t xml:space="preserve">Les actions répressives et de contrôle menées par les autorités judiciaires et administratives renforcent ce constat. Le </w:t>
      </w:r>
      <w:r w:rsidRPr="00187C0D">
        <w:rPr>
          <w:rStyle w:val="lev"/>
          <w:rFonts w:eastAsiaTheme="majorEastAsia"/>
          <w:b w:val="0"/>
          <w:bCs w:val="0"/>
          <w:lang w:val="fr-CI"/>
        </w:rPr>
        <w:t>PPEF</w:t>
      </w:r>
      <w:r w:rsidR="00C40C04" w:rsidRPr="00187C0D">
        <w:rPr>
          <w:rStyle w:val="lev"/>
          <w:rFonts w:eastAsiaTheme="majorEastAsia"/>
          <w:b w:val="0"/>
          <w:bCs w:val="0"/>
          <w:lang w:val="fr-CI"/>
        </w:rPr>
        <w:t xml:space="preserve"> </w:t>
      </w:r>
      <w:r w:rsidRPr="00187C0D">
        <w:rPr>
          <w:lang w:val="fr-CI"/>
        </w:rPr>
        <w:t xml:space="preserve">a multiplié les </w:t>
      </w:r>
      <w:r w:rsidR="00C40C04" w:rsidRPr="00187C0D">
        <w:rPr>
          <w:lang w:val="fr-CI"/>
        </w:rPr>
        <w:t>demandes d’informations</w:t>
      </w:r>
      <w:r w:rsidR="006013D9" w:rsidRPr="00187C0D">
        <w:rPr>
          <w:lang w:val="fr-CI"/>
        </w:rPr>
        <w:t xml:space="preserve"> et les poursuites</w:t>
      </w:r>
      <w:r w:rsidRPr="00187C0D">
        <w:rPr>
          <w:lang w:val="fr-CI"/>
        </w:rPr>
        <w:t xml:space="preserve"> : entre 2022 et 2024, il a formulé </w:t>
      </w:r>
      <w:r w:rsidRPr="00187C0D">
        <w:rPr>
          <w:rStyle w:val="lev"/>
          <w:rFonts w:eastAsiaTheme="majorEastAsia"/>
          <w:b w:val="0"/>
          <w:bCs w:val="0"/>
          <w:lang w:val="fr-CI"/>
        </w:rPr>
        <w:t>142 demandes d’informations</w:t>
      </w:r>
      <w:r w:rsidRPr="00187C0D">
        <w:rPr>
          <w:lang w:val="fr-CI"/>
        </w:rPr>
        <w:t xml:space="preserve"> et ordonné la </w:t>
      </w:r>
      <w:r w:rsidRPr="00187C0D">
        <w:rPr>
          <w:rStyle w:val="lev"/>
          <w:rFonts w:eastAsiaTheme="majorEastAsia"/>
          <w:b w:val="0"/>
          <w:bCs w:val="0"/>
          <w:lang w:val="fr-CI"/>
        </w:rPr>
        <w:t>saisie de comptes bancaires</w:t>
      </w:r>
      <w:r w:rsidRPr="00187C0D">
        <w:rPr>
          <w:lang w:val="fr-CI"/>
        </w:rPr>
        <w:t xml:space="preserve"> pour des cas avérés de blanchiment. De son côté, la </w:t>
      </w:r>
      <w:r w:rsidRPr="00187C0D">
        <w:rPr>
          <w:rStyle w:val="lev"/>
          <w:rFonts w:eastAsiaTheme="majorEastAsia"/>
          <w:b w:val="0"/>
          <w:bCs w:val="0"/>
          <w:lang w:val="fr-CI"/>
        </w:rPr>
        <w:t>DITT</w:t>
      </w:r>
      <w:r w:rsidRPr="00187C0D">
        <w:rPr>
          <w:lang w:val="fr-CI"/>
        </w:rPr>
        <w:t xml:space="preserve"> a adressé </w:t>
      </w:r>
      <w:r w:rsidRPr="00187C0D">
        <w:rPr>
          <w:rStyle w:val="lev"/>
          <w:rFonts w:eastAsiaTheme="majorEastAsia"/>
          <w:b w:val="0"/>
          <w:bCs w:val="0"/>
          <w:lang w:val="fr-CI"/>
        </w:rPr>
        <w:t>78 réquisitions</w:t>
      </w:r>
      <w:r w:rsidRPr="00187C0D">
        <w:rPr>
          <w:lang w:val="fr-CI"/>
        </w:rPr>
        <w:t xml:space="preserve"> aux banques sur la même période, confirmant l’importance stratégique des données bancaires pour les enquêtes criminelles. Enfin, l’ensemble des autorités concernées par la lutte contre la criminalité économique (UCT, DPEF, HABG, CROAT, SATT, PPEF, DITT) a transmis plus de </w:t>
      </w:r>
      <w:r w:rsidRPr="00187C0D">
        <w:rPr>
          <w:rStyle w:val="lev"/>
          <w:rFonts w:eastAsiaTheme="majorEastAsia"/>
          <w:b w:val="0"/>
          <w:bCs w:val="0"/>
          <w:lang w:val="fr-CI"/>
        </w:rPr>
        <w:t>500 réquisitions aux établissements financiers</w:t>
      </w:r>
      <w:r w:rsidRPr="00187C0D">
        <w:rPr>
          <w:lang w:val="fr-CI"/>
        </w:rPr>
        <w:t xml:space="preserve"> entre 2022 et 2025, illustrant un </w:t>
      </w:r>
      <w:r w:rsidRPr="00187C0D">
        <w:rPr>
          <w:rStyle w:val="lev"/>
          <w:rFonts w:eastAsiaTheme="majorEastAsia"/>
          <w:b w:val="0"/>
          <w:bCs w:val="0"/>
          <w:lang w:val="fr-CI"/>
        </w:rPr>
        <w:t>resserrement du contrôle et une vigilance accrue</w:t>
      </w:r>
      <w:r w:rsidRPr="00187C0D">
        <w:rPr>
          <w:lang w:val="fr-CI"/>
        </w:rPr>
        <w:t xml:space="preserve"> sur ce secteur sensible.</w:t>
      </w:r>
    </w:p>
    <w:p w14:paraId="50A3E48E" w14:textId="2004769F" w:rsidR="00640939" w:rsidRPr="00114283" w:rsidRDefault="002207EC" w:rsidP="00DD206B">
      <w:pPr>
        <w:spacing w:after="0" w:line="360" w:lineRule="auto"/>
        <w:jc w:val="both"/>
        <w:rPr>
          <w:rFonts w:ascii="TimesNewRomanPSMT" w:hAnsi="TimesNewRomanPSMT"/>
          <w:color w:val="000000"/>
          <w:sz w:val="24"/>
          <w:szCs w:val="24"/>
        </w:rPr>
      </w:pPr>
      <w:r w:rsidRPr="000E6CAC">
        <w:rPr>
          <w:rFonts w:ascii="TimesNewRomanPSMT" w:hAnsi="TimesNewRomanPSMT"/>
          <w:color w:val="000000"/>
          <w:sz w:val="24"/>
          <w:szCs w:val="24"/>
        </w:rPr>
        <w:t>Ces informations montrent l’importance de la menace liée au secteur bancaire.</w:t>
      </w:r>
    </w:p>
    <w:p w14:paraId="58E97589" w14:textId="77777777" w:rsidR="00FB5A81" w:rsidRDefault="00FB5A81" w:rsidP="00DD206B">
      <w:pPr>
        <w:spacing w:after="0" w:line="360" w:lineRule="auto"/>
        <w:jc w:val="both"/>
        <w:rPr>
          <w:rFonts w:cs="Times New Roman"/>
          <w:sz w:val="22"/>
          <w:szCs w:val="22"/>
        </w:rPr>
      </w:pPr>
    </w:p>
    <w:tbl>
      <w:tblPr>
        <w:tblStyle w:val="Grilledutableau"/>
        <w:tblW w:w="0" w:type="auto"/>
        <w:shd w:val="clear" w:color="auto" w:fill="E8E8E8" w:themeFill="background2"/>
        <w:tblLook w:val="04A0" w:firstRow="1" w:lastRow="0" w:firstColumn="1" w:lastColumn="0" w:noHBand="0" w:noVBand="1"/>
      </w:tblPr>
      <w:tblGrid>
        <w:gridCol w:w="9016"/>
      </w:tblGrid>
      <w:tr w:rsidR="00A87871" w:rsidRPr="00A86A24" w14:paraId="67E78E7A" w14:textId="77777777" w:rsidTr="00AC5A9F">
        <w:tc>
          <w:tcPr>
            <w:tcW w:w="9062" w:type="dxa"/>
            <w:shd w:val="clear" w:color="auto" w:fill="E8E8E8" w:themeFill="background2"/>
          </w:tcPr>
          <w:p w14:paraId="4C52D2D1" w14:textId="1826DD92" w:rsidR="00A87871" w:rsidRPr="00A86A24" w:rsidRDefault="00A87871" w:rsidP="00AC5A9F">
            <w:pPr>
              <w:spacing w:after="0" w:line="360" w:lineRule="auto"/>
              <w:jc w:val="both"/>
              <w:rPr>
                <w:rFonts w:cs="Times New Roman"/>
                <w:b/>
                <w:bCs/>
                <w:sz w:val="22"/>
                <w:szCs w:val="22"/>
                <w:u w:val="single"/>
              </w:rPr>
            </w:pPr>
            <w:r w:rsidRPr="00A86A24">
              <w:rPr>
                <w:rFonts w:cs="Times New Roman"/>
                <w:b/>
                <w:bCs/>
                <w:sz w:val="22"/>
                <w:szCs w:val="22"/>
                <w:u w:val="single"/>
              </w:rPr>
              <w:t xml:space="preserve">Cas </w:t>
            </w:r>
            <w:r w:rsidR="0046548A">
              <w:rPr>
                <w:rFonts w:cs="Times New Roman"/>
                <w:b/>
                <w:bCs/>
                <w:sz w:val="22"/>
                <w:szCs w:val="22"/>
                <w:u w:val="single"/>
              </w:rPr>
              <w:t>12</w:t>
            </w:r>
            <w:r w:rsidRPr="00A86A24">
              <w:rPr>
                <w:rFonts w:cs="Times New Roman"/>
                <w:b/>
                <w:bCs/>
                <w:sz w:val="22"/>
                <w:szCs w:val="22"/>
                <w:u w:val="single"/>
              </w:rPr>
              <w:t xml:space="preserve"> : Blanchiment de capitaux, Fraude fiscale et abus de biens sociaux en lien avec la banque.</w:t>
            </w:r>
          </w:p>
          <w:p w14:paraId="206E6D3A" w14:textId="77777777" w:rsidR="00A87871" w:rsidRPr="00A86A24" w:rsidRDefault="00A87871" w:rsidP="00AC5A9F">
            <w:pPr>
              <w:spacing w:after="0" w:line="360" w:lineRule="auto"/>
              <w:jc w:val="both"/>
              <w:rPr>
                <w:rFonts w:cs="Times New Roman"/>
                <w:sz w:val="22"/>
                <w:szCs w:val="22"/>
              </w:rPr>
            </w:pPr>
            <w:r w:rsidRPr="00A86A24">
              <w:rPr>
                <w:rFonts w:cs="Times New Roman"/>
                <w:sz w:val="22"/>
                <w:szCs w:val="22"/>
              </w:rPr>
              <w:t xml:space="preserve">AFF/C : Le nommé H ainsi que les sociétés coopératives : ETOILE COOP-CA et </w:t>
            </w:r>
          </w:p>
          <w:p w14:paraId="4761009E" w14:textId="77777777" w:rsidR="00A87871" w:rsidRPr="00A86A24" w:rsidRDefault="00A87871" w:rsidP="00AC5A9F">
            <w:pPr>
              <w:spacing w:after="0" w:line="360" w:lineRule="auto"/>
              <w:jc w:val="both"/>
              <w:rPr>
                <w:rFonts w:cs="Times New Roman"/>
                <w:sz w:val="22"/>
                <w:szCs w:val="22"/>
              </w:rPr>
            </w:pPr>
            <w:r w:rsidRPr="00A86A24">
              <w:rPr>
                <w:rFonts w:cs="Times New Roman"/>
                <w:sz w:val="22"/>
                <w:szCs w:val="22"/>
              </w:rPr>
              <w:t xml:space="preserve">SCOOPS- SOLEIL  </w:t>
            </w:r>
          </w:p>
          <w:p w14:paraId="6F61903A" w14:textId="77777777" w:rsidR="00A87871" w:rsidRPr="00A86A24" w:rsidRDefault="00A87871" w:rsidP="00AC5A9F">
            <w:pPr>
              <w:spacing w:after="0" w:line="360" w:lineRule="auto"/>
              <w:jc w:val="both"/>
              <w:rPr>
                <w:rFonts w:cs="Times New Roman"/>
                <w:sz w:val="22"/>
                <w:szCs w:val="22"/>
              </w:rPr>
            </w:pPr>
            <w:r w:rsidRPr="00A86A24">
              <w:rPr>
                <w:rFonts w:cs="Times New Roman"/>
                <w:sz w:val="22"/>
                <w:szCs w:val="22"/>
              </w:rPr>
              <w:t xml:space="preserve">Montant en jeu : 9 715 303 926 FCFA </w:t>
            </w:r>
          </w:p>
          <w:p w14:paraId="0CE6F151" w14:textId="77777777" w:rsidR="00A87871" w:rsidRPr="00A86A24" w:rsidRDefault="00A87871" w:rsidP="00AC5A9F">
            <w:pPr>
              <w:spacing w:after="0" w:line="360" w:lineRule="auto"/>
              <w:jc w:val="both"/>
              <w:rPr>
                <w:rFonts w:cs="Times New Roman"/>
                <w:sz w:val="22"/>
                <w:szCs w:val="22"/>
              </w:rPr>
            </w:pPr>
            <w:r w:rsidRPr="00A86A24">
              <w:rPr>
                <w:rFonts w:cs="Times New Roman"/>
                <w:sz w:val="22"/>
                <w:szCs w:val="22"/>
              </w:rPr>
              <w:t xml:space="preserve">La CENTIF suspecte l’utilisation abusive de deux Sociétés coopératives ETOILE COOP-CA et SCOOPS- SOLEIL par le nommé H qui en est le Président du Conseil d’Administration (PCA) dans le blanchiment de capitaux portant sur la somme de 9 715 303 926 FCFA. Cette somme serait le produit d’une fraude fiscale ainsi que d’abus de biens sociaux durant la période du 01/01/2018 au 19/09/2023. Planteur et spécialisé dans la vente de cacao, Monsieur H est entré en relation le 16/02/2009 avec une Institution financière de la place. Il est titulaire de deux comptes : un compte de dépôt et un compte épargne. </w:t>
            </w:r>
          </w:p>
          <w:p w14:paraId="12C467CD" w14:textId="77777777" w:rsidR="00A87871" w:rsidRPr="00A86A24" w:rsidRDefault="00A87871" w:rsidP="00AC5A9F">
            <w:pPr>
              <w:spacing w:after="0" w:line="360" w:lineRule="auto"/>
              <w:jc w:val="both"/>
              <w:rPr>
                <w:rFonts w:cs="Times New Roman"/>
                <w:sz w:val="22"/>
                <w:szCs w:val="22"/>
              </w:rPr>
            </w:pPr>
            <w:r w:rsidRPr="00A86A24">
              <w:rPr>
                <w:rFonts w:cs="Times New Roman"/>
                <w:sz w:val="22"/>
                <w:szCs w:val="22"/>
              </w:rPr>
              <w:t xml:space="preserve">Les sociétés coopératives ont également leurs comptes domiciliés dans la même banque dont le PCA est client. Des transactions inhabituelles sont observées entre les comptes des sociétés coopératives et les comptes du PCA. En effet, le PCA reçoit sur ses comptes particuliers de multiples et importantes opérations de remises de chèques, de virements ainsi que des versements en espèces reçus des sociétés coopératives sans justificatif. Les dépôts effectués sur les comptes de Monsieur H font systématiquement l’objet de retraits de chèques, de virements émis et de retraits en espèces dans un laps de temps. </w:t>
            </w:r>
          </w:p>
          <w:p w14:paraId="13CEDFDE" w14:textId="77777777" w:rsidR="00A87871" w:rsidRPr="00A86A24" w:rsidRDefault="00A87871" w:rsidP="00AC5A9F">
            <w:pPr>
              <w:spacing w:after="0" w:line="360" w:lineRule="auto"/>
              <w:jc w:val="both"/>
              <w:rPr>
                <w:rFonts w:cs="Times New Roman"/>
                <w:sz w:val="22"/>
                <w:szCs w:val="22"/>
              </w:rPr>
            </w:pPr>
            <w:r w:rsidRPr="00A86A24">
              <w:rPr>
                <w:rFonts w:cs="Times New Roman"/>
                <w:sz w:val="22"/>
                <w:szCs w:val="22"/>
              </w:rPr>
              <w:t xml:space="preserve">Le 14/07/2023, le compte de dépôt du PCA a été impacté par un versement en espèces de 50 000 000 FCFA. Toutefois, l’extrait de compte d’une Société dénommée V, présentée comme un client, a été produit pour justifier l'achat de cacao. L’analyse a révélé que le justificatif n’était pas probant. </w:t>
            </w:r>
          </w:p>
          <w:p w14:paraId="026F0A90" w14:textId="77777777" w:rsidR="00A87871" w:rsidRPr="00A86A24" w:rsidRDefault="00A87871" w:rsidP="00AC5A9F">
            <w:pPr>
              <w:spacing w:after="0" w:line="360" w:lineRule="auto"/>
              <w:jc w:val="both"/>
              <w:rPr>
                <w:rFonts w:cs="Times New Roman"/>
                <w:sz w:val="22"/>
                <w:szCs w:val="22"/>
              </w:rPr>
            </w:pPr>
            <w:r w:rsidRPr="00A86A24">
              <w:rPr>
                <w:rFonts w:cs="Times New Roman"/>
                <w:sz w:val="22"/>
                <w:szCs w:val="22"/>
              </w:rPr>
              <w:lastRenderedPageBreak/>
              <w:t>Au regard du fonctionnement inhabituel des comptes du PCA et de l'utilisation inappropriée desdits comptes, nous le soupçonnons de blanchiment de capitaux, de fraude fiscale et d’abus de biens sociaux.</w:t>
            </w:r>
          </w:p>
          <w:p w14:paraId="78F4F1A7" w14:textId="77777777" w:rsidR="00A87871" w:rsidRPr="00A86A24" w:rsidRDefault="00A87871" w:rsidP="00AC5A9F">
            <w:pPr>
              <w:spacing w:after="0" w:line="360" w:lineRule="auto"/>
              <w:jc w:val="both"/>
              <w:rPr>
                <w:rFonts w:cs="Times New Roman"/>
                <w:sz w:val="22"/>
                <w:szCs w:val="22"/>
              </w:rPr>
            </w:pPr>
            <w:r w:rsidRPr="00A86A24">
              <w:rPr>
                <w:rFonts w:cs="Times New Roman"/>
                <w:sz w:val="22"/>
                <w:szCs w:val="22"/>
              </w:rPr>
              <w:t>-</w:t>
            </w:r>
            <w:r w:rsidRPr="00A86A24">
              <w:rPr>
                <w:rFonts w:cs="Times New Roman"/>
                <w:sz w:val="22"/>
                <w:szCs w:val="22"/>
              </w:rPr>
              <w:tab/>
              <w:t>Résultats en matière de répression : transmission du signalement par le biais du renseignement financier au Pôle Pénal Economique et Financier (PPEF). L’affaire est en cours.</w:t>
            </w:r>
          </w:p>
        </w:tc>
      </w:tr>
    </w:tbl>
    <w:p w14:paraId="606F4B4F" w14:textId="77777777" w:rsidR="00FB5A81" w:rsidRDefault="00FB5A81" w:rsidP="00DD206B">
      <w:pPr>
        <w:spacing w:after="0" w:line="360" w:lineRule="auto"/>
        <w:jc w:val="both"/>
        <w:rPr>
          <w:rFonts w:cs="Times New Roman"/>
          <w:sz w:val="22"/>
          <w:szCs w:val="22"/>
        </w:rPr>
      </w:pPr>
    </w:p>
    <w:p w14:paraId="704D9CDA" w14:textId="4E9790A4" w:rsidR="00E57C1A" w:rsidRPr="008F704B" w:rsidRDefault="00824D75" w:rsidP="00DD206B">
      <w:pPr>
        <w:pStyle w:val="Titre3"/>
        <w:rPr>
          <w:sz w:val="22"/>
        </w:rPr>
      </w:pPr>
      <w:bookmarkStart w:id="19" w:name="_Toc213326903"/>
      <w:r w:rsidRPr="008F704B">
        <w:rPr>
          <w:sz w:val="22"/>
        </w:rPr>
        <w:t>Evaluation</w:t>
      </w:r>
      <w:r w:rsidR="00E57C1A" w:rsidRPr="008F704B">
        <w:rPr>
          <w:sz w:val="22"/>
        </w:rPr>
        <w:t xml:space="preserve"> de la menace liée au secteur des Titres et valeurs mobilières</w:t>
      </w:r>
      <w:bookmarkEnd w:id="19"/>
      <w:r w:rsidR="00CC4BE8" w:rsidRPr="008F704B">
        <w:rPr>
          <w:sz w:val="22"/>
        </w:rPr>
        <w:t xml:space="preserve"> </w:t>
      </w:r>
    </w:p>
    <w:p w14:paraId="30B9B4EF" w14:textId="7DFED21C" w:rsidR="00816EB5" w:rsidRPr="00114283" w:rsidRDefault="00816EB5" w:rsidP="00DD206B">
      <w:pPr>
        <w:tabs>
          <w:tab w:val="left" w:pos="810"/>
        </w:tabs>
        <w:spacing w:after="0" w:line="360" w:lineRule="auto"/>
        <w:jc w:val="both"/>
        <w:rPr>
          <w:rFonts w:cs="Times New Roman"/>
          <w:bCs/>
          <w:sz w:val="24"/>
          <w:szCs w:val="24"/>
        </w:rPr>
      </w:pPr>
      <w:r w:rsidRPr="00114283">
        <w:rPr>
          <w:rFonts w:cs="Times New Roman"/>
          <w:bCs/>
          <w:sz w:val="24"/>
          <w:szCs w:val="24"/>
        </w:rPr>
        <w:t>Le secteur des titres et valeurs mobilières compte à ce jour 61 acteurs, dont une (01) Bourse Régionale des Valeurs Mobilières (BRVM), un (01) Dépositaire Central/Banque de Règlement (DC/BR), dix-sept (17) Sociétés de Gestion et d’Intermédiation (SGI), neuf (9) Banques Teneurs de Compte et Conservateurs (BTCC), douze (12) Organismes de Placement Collectif en Valeurs Mobilières (OPCVM), dix-huit (18) Apporteurs d’affaires, deux (02) Fonds communs de titrisation de créances et un (01) Conseiller en investissement boursier. Ce secteur est étroitement lié au secteur bancaire, car les flux financiers de ce secteur transitent principalement par la banque.</w:t>
      </w:r>
    </w:p>
    <w:p w14:paraId="5A49FDE1" w14:textId="33CF764E" w:rsidR="00816EB5" w:rsidRPr="00114283" w:rsidRDefault="00816EB5" w:rsidP="00DD206B">
      <w:pPr>
        <w:tabs>
          <w:tab w:val="left" w:pos="810"/>
        </w:tabs>
        <w:spacing w:after="0" w:line="360" w:lineRule="auto"/>
        <w:jc w:val="both"/>
        <w:rPr>
          <w:rFonts w:cs="Times New Roman"/>
          <w:bCs/>
          <w:sz w:val="24"/>
          <w:szCs w:val="24"/>
        </w:rPr>
      </w:pPr>
      <w:r w:rsidRPr="00114283">
        <w:rPr>
          <w:rFonts w:cs="Times New Roman"/>
          <w:bCs/>
          <w:sz w:val="24"/>
          <w:szCs w:val="24"/>
        </w:rPr>
        <w:t>Plusieurs facteurs pourraient constituer une menace pour le marché des titres et valeurs mobilières, notamment la complexité des opérations, le caractère sous-régional et le volume élevé des transactions.</w:t>
      </w:r>
    </w:p>
    <w:p w14:paraId="2F066850" w14:textId="38FA6B2C" w:rsidR="00816EB5" w:rsidRPr="00114283" w:rsidRDefault="00816EB5" w:rsidP="00DD206B">
      <w:pPr>
        <w:tabs>
          <w:tab w:val="left" w:pos="810"/>
        </w:tabs>
        <w:spacing w:after="0" w:line="360" w:lineRule="auto"/>
        <w:jc w:val="both"/>
        <w:rPr>
          <w:rFonts w:cs="Times New Roman"/>
          <w:bCs/>
          <w:sz w:val="24"/>
          <w:szCs w:val="24"/>
        </w:rPr>
      </w:pPr>
      <w:r w:rsidRPr="00114283">
        <w:rPr>
          <w:rFonts w:cs="Times New Roman"/>
          <w:bCs/>
          <w:sz w:val="24"/>
          <w:szCs w:val="24"/>
        </w:rPr>
        <w:t>En ce qui concerne la complexité des opérations, la nature des transactions sur titres peut masquer l’origine des fonds et rendre difficile pour les autorités la détection d’activités suspectes. En outre, la nature sous-régionale des transactions sur titres permet aux criminels financiers de déplacer des fonds à travers les frontières rapidement et efficacement, ce qui complique davantage les efforts de lutte contre le blanchiment de capitaux. Par ailleurs, le volume élevé des transactions sur le marché des valeurs mobilières offre de nombreuses possibilités aux criminels financiers d’entremêler des fonds illicites avec des fonds légitimes. Aussi, la facilité de transfert associée aux valeurs mobilières en fait une option attrayante pour les personnes cherchant à légitimer leurs fonds illicites.</w:t>
      </w:r>
    </w:p>
    <w:p w14:paraId="7B406C7E" w14:textId="1D63C77B" w:rsidR="002E22F1" w:rsidRDefault="00816EB5" w:rsidP="00DD206B">
      <w:pPr>
        <w:tabs>
          <w:tab w:val="left" w:pos="810"/>
        </w:tabs>
        <w:spacing w:after="0" w:line="360" w:lineRule="auto"/>
        <w:jc w:val="both"/>
        <w:rPr>
          <w:rFonts w:cs="Times New Roman"/>
          <w:bCs/>
          <w:sz w:val="24"/>
          <w:szCs w:val="24"/>
        </w:rPr>
      </w:pPr>
      <w:r w:rsidRPr="00114283">
        <w:rPr>
          <w:rFonts w:cs="Times New Roman"/>
          <w:bCs/>
          <w:sz w:val="24"/>
          <w:szCs w:val="24"/>
        </w:rPr>
        <w:t xml:space="preserve">En 2019, selon l’ENR, la menace du secteur des titres et valeurs mobilières était jugée « moyennement élevée ». À ce jour, la CENTIF a traité une seule DOS émanant d’une SGI. Selon la perception des experts et acteurs du secteur, le niveau de la menace lié au secteur des titres et valeurs mobilières n’est pas </w:t>
      </w:r>
      <w:r w:rsidR="00DD3D5A">
        <w:rPr>
          <w:rFonts w:cs="Times New Roman"/>
          <w:bCs/>
          <w:sz w:val="24"/>
          <w:szCs w:val="24"/>
        </w:rPr>
        <w:t>important</w:t>
      </w:r>
      <w:r w:rsidRPr="00114283">
        <w:rPr>
          <w:rFonts w:cs="Times New Roman"/>
          <w:bCs/>
          <w:sz w:val="24"/>
          <w:szCs w:val="24"/>
        </w:rPr>
        <w:t>, même s’il représente un canal potentiel de BC.</w:t>
      </w:r>
    </w:p>
    <w:p w14:paraId="6BDB74FD" w14:textId="77777777" w:rsidR="00A87871" w:rsidRPr="00114283" w:rsidRDefault="00A87871" w:rsidP="00DD206B">
      <w:pPr>
        <w:tabs>
          <w:tab w:val="left" w:pos="810"/>
        </w:tabs>
        <w:spacing w:after="0" w:line="360" w:lineRule="auto"/>
        <w:jc w:val="both"/>
        <w:rPr>
          <w:rFonts w:cs="Times New Roman"/>
          <w:sz w:val="24"/>
          <w:szCs w:val="24"/>
        </w:rPr>
      </w:pPr>
    </w:p>
    <w:p w14:paraId="5EE1F4A2" w14:textId="7239346C" w:rsidR="00E57C1A" w:rsidRPr="008F704B" w:rsidRDefault="00824D75" w:rsidP="00DD206B">
      <w:pPr>
        <w:pStyle w:val="Titre3"/>
        <w:rPr>
          <w:sz w:val="22"/>
        </w:rPr>
      </w:pPr>
      <w:bookmarkStart w:id="20" w:name="_Toc213326904"/>
      <w:r w:rsidRPr="008F704B">
        <w:rPr>
          <w:sz w:val="22"/>
        </w:rPr>
        <w:lastRenderedPageBreak/>
        <w:t>Evaluation</w:t>
      </w:r>
      <w:r w:rsidR="00E57C1A" w:rsidRPr="008F704B">
        <w:rPr>
          <w:sz w:val="22"/>
        </w:rPr>
        <w:t xml:space="preserve"> de la menace liée au secteur des </w:t>
      </w:r>
      <w:r w:rsidR="004528F8" w:rsidRPr="008F704B">
        <w:rPr>
          <w:sz w:val="22"/>
        </w:rPr>
        <w:t>a</w:t>
      </w:r>
      <w:r w:rsidR="00E57C1A" w:rsidRPr="008F704B">
        <w:rPr>
          <w:sz w:val="22"/>
        </w:rPr>
        <w:t>ssurances</w:t>
      </w:r>
      <w:bookmarkEnd w:id="20"/>
      <w:r w:rsidR="00E57C1A" w:rsidRPr="008F704B">
        <w:rPr>
          <w:sz w:val="22"/>
        </w:rPr>
        <w:t xml:space="preserve"> </w:t>
      </w:r>
    </w:p>
    <w:p w14:paraId="59D492F0" w14:textId="17E86A64" w:rsidR="00816EB5" w:rsidRPr="00114283" w:rsidRDefault="00816EB5" w:rsidP="00DD206B">
      <w:pPr>
        <w:tabs>
          <w:tab w:val="left" w:pos="810"/>
        </w:tabs>
        <w:spacing w:before="240" w:after="120" w:line="360" w:lineRule="auto"/>
        <w:jc w:val="both"/>
        <w:rPr>
          <w:rFonts w:cs="Times New Roman"/>
          <w:sz w:val="24"/>
          <w:szCs w:val="24"/>
        </w:rPr>
      </w:pPr>
      <w:r w:rsidRPr="00114283">
        <w:rPr>
          <w:rFonts w:cs="Times New Roman"/>
          <w:sz w:val="24"/>
          <w:szCs w:val="24"/>
        </w:rPr>
        <w:t xml:space="preserve">Le secteur des assurances en Côte d’Ivoire compte, </w:t>
      </w:r>
      <w:r w:rsidR="001E300D">
        <w:rPr>
          <w:rFonts w:cs="Times New Roman"/>
          <w:sz w:val="24"/>
          <w:szCs w:val="24"/>
        </w:rPr>
        <w:t>à</w:t>
      </w:r>
      <w:r w:rsidR="005030BC" w:rsidRPr="00114283">
        <w:rPr>
          <w:rFonts w:cs="Times New Roman"/>
          <w:sz w:val="24"/>
          <w:szCs w:val="24"/>
        </w:rPr>
        <w:t xml:space="preserve"> </w:t>
      </w:r>
      <w:r w:rsidR="005030BC">
        <w:rPr>
          <w:rFonts w:cs="Times New Roman"/>
          <w:sz w:val="24"/>
          <w:szCs w:val="24"/>
        </w:rPr>
        <w:t>mai</w:t>
      </w:r>
      <w:r w:rsidR="005030BC" w:rsidRPr="00114283">
        <w:rPr>
          <w:rFonts w:cs="Times New Roman"/>
          <w:sz w:val="24"/>
          <w:szCs w:val="24"/>
        </w:rPr>
        <w:t xml:space="preserve"> 2025</w:t>
      </w:r>
      <w:r w:rsidRPr="00114283">
        <w:rPr>
          <w:rFonts w:cs="Times New Roman"/>
          <w:sz w:val="24"/>
          <w:szCs w:val="24"/>
        </w:rPr>
        <w:t>, trente-quatre (34) sociétés d’assurance dont douze (12) sociétés d’assurance-vie et vingt-deux (22) sociétés d’assurance non-vie. Le chiffre d’affaires du marché s’élève à 598 milliards de FCFA en 2023 contre 526 milliards de FCFA en 2022, soit une progression de 14 %. Les primes collectées par les sociétés d’assurance-vie s’élèvent à 251 milliards en 2023 contre 223 milliards en 2022, soit une augmentation d’environ 10 %.</w:t>
      </w:r>
    </w:p>
    <w:p w14:paraId="236EAB76" w14:textId="0AB442FD" w:rsidR="00816EB5" w:rsidRPr="00114283" w:rsidRDefault="00816EB5" w:rsidP="00DD206B">
      <w:pPr>
        <w:tabs>
          <w:tab w:val="left" w:pos="810"/>
        </w:tabs>
        <w:spacing w:before="240" w:after="120" w:line="360" w:lineRule="auto"/>
        <w:jc w:val="both"/>
        <w:rPr>
          <w:rFonts w:cs="Times New Roman"/>
          <w:sz w:val="24"/>
          <w:szCs w:val="24"/>
        </w:rPr>
      </w:pPr>
      <w:r w:rsidRPr="00114283">
        <w:rPr>
          <w:rFonts w:cs="Times New Roman"/>
          <w:sz w:val="24"/>
          <w:szCs w:val="24"/>
        </w:rPr>
        <w:t>L’assurance-vie et les contrats de capitalisation sont principalement exposés à la menace de blanchiment de fonds issus du trafic de stupéfiants</w:t>
      </w:r>
      <w:r w:rsidR="006013D9">
        <w:rPr>
          <w:rFonts w:cs="Times New Roman"/>
          <w:sz w:val="24"/>
          <w:szCs w:val="24"/>
        </w:rPr>
        <w:t xml:space="preserve"> ou</w:t>
      </w:r>
      <w:r w:rsidR="00632845">
        <w:rPr>
          <w:rFonts w:cs="Times New Roman"/>
          <w:sz w:val="24"/>
          <w:szCs w:val="24"/>
        </w:rPr>
        <w:t xml:space="preserve"> toutes</w:t>
      </w:r>
      <w:r w:rsidR="006013D9">
        <w:rPr>
          <w:rFonts w:cs="Times New Roman"/>
          <w:sz w:val="24"/>
          <w:szCs w:val="24"/>
        </w:rPr>
        <w:t xml:space="preserve"> autres infractions sous-jacentes au BC</w:t>
      </w:r>
      <w:r w:rsidRPr="00114283">
        <w:rPr>
          <w:rFonts w:cs="Times New Roman"/>
          <w:sz w:val="24"/>
          <w:szCs w:val="24"/>
        </w:rPr>
        <w:t>. Les opérations de rachat de contrats d’assurance-vie ainsi que de contrats de capitalisation peuvent dissimuler des cas de trafic de drogue</w:t>
      </w:r>
      <w:r w:rsidR="006013D9">
        <w:rPr>
          <w:rFonts w:cs="Times New Roman"/>
          <w:sz w:val="24"/>
          <w:szCs w:val="24"/>
        </w:rPr>
        <w:t xml:space="preserve"> ou </w:t>
      </w:r>
      <w:r w:rsidR="00632845">
        <w:rPr>
          <w:rFonts w:cs="Times New Roman"/>
          <w:sz w:val="24"/>
          <w:szCs w:val="24"/>
        </w:rPr>
        <w:t xml:space="preserve">toutes </w:t>
      </w:r>
      <w:r w:rsidR="006013D9">
        <w:rPr>
          <w:rFonts w:cs="Times New Roman"/>
          <w:sz w:val="24"/>
          <w:szCs w:val="24"/>
        </w:rPr>
        <w:t>autres infractions sous-jacentes au BC</w:t>
      </w:r>
      <w:r w:rsidRPr="00114283">
        <w:rPr>
          <w:rFonts w:cs="Times New Roman"/>
          <w:sz w:val="24"/>
          <w:szCs w:val="24"/>
        </w:rPr>
        <w:t xml:space="preserve"> à l’origine.</w:t>
      </w:r>
    </w:p>
    <w:p w14:paraId="184ABFA9" w14:textId="46170E86" w:rsidR="00816EB5" w:rsidRPr="00114283" w:rsidRDefault="00816EB5" w:rsidP="00DD206B">
      <w:pPr>
        <w:tabs>
          <w:tab w:val="left" w:pos="810"/>
        </w:tabs>
        <w:spacing w:before="240" w:after="120" w:line="360" w:lineRule="auto"/>
        <w:jc w:val="both"/>
        <w:rPr>
          <w:rFonts w:cs="Times New Roman"/>
          <w:sz w:val="24"/>
          <w:szCs w:val="24"/>
        </w:rPr>
      </w:pPr>
      <w:r w:rsidRPr="00114283">
        <w:rPr>
          <w:rFonts w:cs="Times New Roman"/>
          <w:sz w:val="24"/>
          <w:szCs w:val="24"/>
        </w:rPr>
        <w:t>Le secteur de l’assurance-vie peut également être utilisé par les PPE pour cacher les fonds perçus dans le cadre de délits d’initiés, de détournements de fonds publics ou issus de la corruption. Il pourrait constituer un canal de placement des fonds d’origine illicite tels que les fonds tirés d’escroqueries et d’abus de biens sociaux. La fraude aux assurances fait également partie des menaces potentielles.</w:t>
      </w:r>
    </w:p>
    <w:p w14:paraId="63751510" w14:textId="5DFA980A" w:rsidR="00816EB5" w:rsidRPr="00114283" w:rsidRDefault="00816EB5" w:rsidP="00DD206B">
      <w:pPr>
        <w:tabs>
          <w:tab w:val="left" w:pos="810"/>
        </w:tabs>
        <w:spacing w:before="240" w:after="120" w:line="360" w:lineRule="auto"/>
        <w:jc w:val="both"/>
        <w:rPr>
          <w:rFonts w:cs="Times New Roman"/>
          <w:sz w:val="24"/>
          <w:szCs w:val="24"/>
        </w:rPr>
      </w:pPr>
      <w:r w:rsidRPr="00114283">
        <w:rPr>
          <w:rFonts w:cs="Times New Roman"/>
          <w:sz w:val="24"/>
          <w:szCs w:val="24"/>
        </w:rPr>
        <w:t>Il peut, en outre, permettre le rapatriement de fonds non déclarés depuis l’étranger ainsi que des donations déguisées non déclarées, dans le cadre de tentatives de fraudes fiscales.</w:t>
      </w:r>
    </w:p>
    <w:p w14:paraId="6ACD9AE8" w14:textId="226A464F" w:rsidR="00816EB5" w:rsidRPr="00114283" w:rsidRDefault="00816EB5" w:rsidP="00DD206B">
      <w:pPr>
        <w:tabs>
          <w:tab w:val="left" w:pos="810"/>
        </w:tabs>
        <w:spacing w:before="240" w:after="120" w:line="360" w:lineRule="auto"/>
        <w:jc w:val="both"/>
        <w:rPr>
          <w:rFonts w:cs="Times New Roman"/>
          <w:sz w:val="24"/>
          <w:szCs w:val="24"/>
        </w:rPr>
      </w:pPr>
      <w:r w:rsidRPr="00114283">
        <w:rPr>
          <w:rFonts w:cs="Times New Roman"/>
          <w:sz w:val="24"/>
          <w:szCs w:val="24"/>
        </w:rPr>
        <w:t>La CENTIF a reçu, de 2022 au 1er semestre 2024, 82 DOS provenant des organismes d’assurance-vie. De septembre 2024 à juin 2025, le nombre de DOS s’est accru avec la transmission de 100 DOS effectuée par les compagnies d’assurance. En outre, plusieurs DI ont également été adressées à la CENTIF concernant le secteur des assurances sur la période 2022-2024.</w:t>
      </w:r>
      <w:r w:rsidR="005018A9">
        <w:rPr>
          <w:rFonts w:cs="Times New Roman"/>
          <w:sz w:val="24"/>
          <w:szCs w:val="24"/>
        </w:rPr>
        <w:t xml:space="preserve"> </w:t>
      </w:r>
      <w:r w:rsidRPr="00114283">
        <w:rPr>
          <w:rFonts w:cs="Times New Roman"/>
          <w:sz w:val="24"/>
          <w:szCs w:val="24"/>
        </w:rPr>
        <w:t>Le PPEF, pour sa part, a traité 17 dossiers et a adressé une seule demande d’information aux sociétés d’assurance.</w:t>
      </w:r>
    </w:p>
    <w:p w14:paraId="1E7AE72E" w14:textId="4A46345A" w:rsidR="00816EB5" w:rsidRPr="00114283" w:rsidRDefault="00816EB5" w:rsidP="00DD206B">
      <w:pPr>
        <w:tabs>
          <w:tab w:val="left" w:pos="810"/>
        </w:tabs>
        <w:spacing w:before="240" w:after="120" w:line="360" w:lineRule="auto"/>
        <w:jc w:val="both"/>
        <w:rPr>
          <w:rFonts w:cs="Times New Roman"/>
          <w:sz w:val="24"/>
          <w:szCs w:val="24"/>
        </w:rPr>
      </w:pPr>
      <w:r w:rsidRPr="00114283">
        <w:rPr>
          <w:rFonts w:cs="Times New Roman"/>
          <w:sz w:val="24"/>
          <w:szCs w:val="24"/>
        </w:rPr>
        <w:t xml:space="preserve">Concernant l’assurance non-vie, elle présente peu de menace en matière de </w:t>
      </w:r>
      <w:r w:rsidR="00E15A8B">
        <w:rPr>
          <w:rFonts w:cs="Times New Roman"/>
          <w:sz w:val="24"/>
          <w:szCs w:val="24"/>
        </w:rPr>
        <w:t>BC</w:t>
      </w:r>
      <w:r w:rsidRPr="00114283">
        <w:rPr>
          <w:rFonts w:cs="Times New Roman"/>
          <w:sz w:val="24"/>
          <w:szCs w:val="24"/>
        </w:rPr>
        <w:t>, en raison notamment de l’intervention de différents experts et de la limitation de la réparation au préjudice subi par application du principe indemnitaire.</w:t>
      </w:r>
    </w:p>
    <w:p w14:paraId="70234889" w14:textId="504AC05D" w:rsidR="008D74C9" w:rsidRDefault="00816EB5" w:rsidP="00C9761C">
      <w:pPr>
        <w:tabs>
          <w:tab w:val="left" w:pos="810"/>
        </w:tabs>
        <w:spacing w:before="240" w:after="120" w:line="360" w:lineRule="auto"/>
        <w:jc w:val="both"/>
        <w:rPr>
          <w:rFonts w:cs="Times New Roman"/>
          <w:sz w:val="24"/>
          <w:szCs w:val="24"/>
        </w:rPr>
      </w:pPr>
      <w:r w:rsidRPr="00114283">
        <w:rPr>
          <w:rFonts w:cs="Times New Roman"/>
          <w:sz w:val="24"/>
          <w:szCs w:val="24"/>
        </w:rPr>
        <w:lastRenderedPageBreak/>
        <w:t xml:space="preserve">En somme, la menace de </w:t>
      </w:r>
      <w:r w:rsidR="00E15A8B">
        <w:rPr>
          <w:rFonts w:cs="Times New Roman"/>
          <w:sz w:val="24"/>
          <w:szCs w:val="24"/>
        </w:rPr>
        <w:t>BC</w:t>
      </w:r>
      <w:r w:rsidRPr="00114283">
        <w:rPr>
          <w:rFonts w:cs="Times New Roman"/>
          <w:sz w:val="24"/>
          <w:szCs w:val="24"/>
        </w:rPr>
        <w:t xml:space="preserve"> au niveau du secteur des assurances n’est pas </w:t>
      </w:r>
      <w:r w:rsidR="00DD3D5A">
        <w:rPr>
          <w:rFonts w:cs="Times New Roman"/>
          <w:sz w:val="24"/>
          <w:szCs w:val="24"/>
        </w:rPr>
        <w:t>importante</w:t>
      </w:r>
      <w:r w:rsidRPr="00114283">
        <w:rPr>
          <w:rFonts w:cs="Times New Roman"/>
          <w:sz w:val="24"/>
          <w:szCs w:val="24"/>
        </w:rPr>
        <w:t>, même s’il a été démontré qu’il s’agit d’un canal potentiel de blanchiment.</w:t>
      </w:r>
    </w:p>
    <w:tbl>
      <w:tblPr>
        <w:tblStyle w:val="Grilledutableau"/>
        <w:tblW w:w="0" w:type="auto"/>
        <w:shd w:val="clear" w:color="auto" w:fill="E8E8E8" w:themeFill="background2"/>
        <w:tblCellMar>
          <w:top w:w="28" w:type="dxa"/>
          <w:bottom w:w="28" w:type="dxa"/>
        </w:tblCellMar>
        <w:tblLook w:val="04A0" w:firstRow="1" w:lastRow="0" w:firstColumn="1" w:lastColumn="0" w:noHBand="0" w:noVBand="1"/>
      </w:tblPr>
      <w:tblGrid>
        <w:gridCol w:w="9016"/>
      </w:tblGrid>
      <w:tr w:rsidR="00A87871" w:rsidRPr="00A86A24" w14:paraId="62A725A9" w14:textId="77777777" w:rsidTr="00AC5A9F">
        <w:trPr>
          <w:trHeight w:val="203"/>
        </w:trPr>
        <w:tc>
          <w:tcPr>
            <w:tcW w:w="9209" w:type="dxa"/>
            <w:shd w:val="clear" w:color="auto" w:fill="E8E8E8" w:themeFill="background2"/>
          </w:tcPr>
          <w:p w14:paraId="1022536E" w14:textId="7C874E10" w:rsidR="00A87871" w:rsidRPr="00A86A24" w:rsidRDefault="00A87871" w:rsidP="00AC5A9F">
            <w:pPr>
              <w:pStyle w:val="NormalWeb"/>
              <w:spacing w:line="360" w:lineRule="auto"/>
              <w:ind w:right="-58"/>
              <w:jc w:val="both"/>
              <w:rPr>
                <w:b/>
                <w:bCs/>
                <w:sz w:val="22"/>
                <w:szCs w:val="22"/>
                <w:u w:val="single"/>
                <w:lang w:val="fr-FR"/>
              </w:rPr>
            </w:pPr>
            <w:r w:rsidRPr="00A86A24">
              <w:rPr>
                <w:b/>
                <w:bCs/>
                <w:sz w:val="22"/>
                <w:szCs w:val="22"/>
                <w:u w:val="single"/>
                <w:lang w:val="fr-FR"/>
              </w:rPr>
              <w:t xml:space="preserve">Cas </w:t>
            </w:r>
            <w:r w:rsidR="00E25042">
              <w:rPr>
                <w:b/>
                <w:bCs/>
                <w:sz w:val="22"/>
                <w:szCs w:val="22"/>
                <w:u w:val="single"/>
                <w:lang w:val="fr-FR"/>
              </w:rPr>
              <w:t>13</w:t>
            </w:r>
            <w:r w:rsidRPr="00A86A24">
              <w:rPr>
                <w:b/>
                <w:bCs/>
                <w:sz w:val="22"/>
                <w:szCs w:val="22"/>
                <w:u w:val="single"/>
                <w:lang w:val="fr-FR"/>
              </w:rPr>
              <w:t xml:space="preserve"> : BC et corruption</w:t>
            </w:r>
            <w:r w:rsidR="00E25042">
              <w:rPr>
                <w:b/>
                <w:bCs/>
                <w:sz w:val="22"/>
                <w:szCs w:val="22"/>
                <w:u w:val="single"/>
                <w:lang w:val="fr-FR"/>
              </w:rPr>
              <w:t xml:space="preserve"> </w:t>
            </w:r>
            <w:proofErr w:type="spellStart"/>
            <w:r w:rsidR="00E25042">
              <w:rPr>
                <w:b/>
                <w:bCs/>
                <w:sz w:val="22"/>
                <w:szCs w:val="22"/>
                <w:u w:val="single"/>
                <w:lang w:val="fr-FR"/>
              </w:rPr>
              <w:t>a</w:t>
            </w:r>
            <w:proofErr w:type="spellEnd"/>
            <w:r w:rsidR="00E25042">
              <w:rPr>
                <w:b/>
                <w:bCs/>
                <w:sz w:val="22"/>
                <w:szCs w:val="22"/>
                <w:u w:val="single"/>
                <w:lang w:val="fr-FR"/>
              </w:rPr>
              <w:t xml:space="preserve"> travers l’utilisation d’une compagnie d’assurance</w:t>
            </w:r>
          </w:p>
          <w:p w14:paraId="37E08463" w14:textId="0F954CC1" w:rsidR="00A87871" w:rsidRPr="00A86A24" w:rsidRDefault="00A87871" w:rsidP="00C9761C">
            <w:pPr>
              <w:spacing w:line="360" w:lineRule="auto"/>
              <w:ind w:right="-58"/>
              <w:jc w:val="both"/>
              <w:rPr>
                <w:rFonts w:cs="Times New Roman"/>
                <w:b/>
                <w:sz w:val="22"/>
                <w:szCs w:val="22"/>
              </w:rPr>
            </w:pPr>
            <w:r w:rsidRPr="00A86A24">
              <w:rPr>
                <w:rFonts w:cs="Times New Roman"/>
                <w:sz w:val="22"/>
                <w:szCs w:val="22"/>
              </w:rPr>
              <w:t xml:space="preserve">Le </w:t>
            </w:r>
            <w:r w:rsidRPr="00A86A24">
              <w:rPr>
                <w:rFonts w:cs="Times New Roman"/>
                <w:b/>
                <w:sz w:val="22"/>
                <w:szCs w:val="22"/>
              </w:rPr>
              <w:t>31 janvier 2025</w:t>
            </w:r>
            <w:r w:rsidRPr="00A86A24">
              <w:rPr>
                <w:rFonts w:cs="Times New Roman"/>
                <w:sz w:val="22"/>
                <w:szCs w:val="22"/>
              </w:rPr>
              <w:t xml:space="preserve">, la CENTIF, a saisi le Parquet du PPEF en dénonçant les faits d’enrichissement illicite et de blanchiment de capitaux à l’encontre de </w:t>
            </w:r>
            <w:r w:rsidRPr="00A86A24">
              <w:rPr>
                <w:rFonts w:cs="Times New Roman"/>
                <w:b/>
                <w:sz w:val="22"/>
                <w:szCs w:val="22"/>
              </w:rPr>
              <w:t>K.M.I,</w:t>
            </w:r>
            <w:r w:rsidRPr="00A86A24">
              <w:rPr>
                <w:rFonts w:cs="Times New Roman"/>
                <w:sz w:val="22"/>
                <w:szCs w:val="22"/>
              </w:rPr>
              <w:t xml:space="preserve"> </w:t>
            </w:r>
            <w:r w:rsidRPr="00A86A24">
              <w:rPr>
                <w:rFonts w:cs="Times New Roman"/>
                <w:b/>
                <w:sz w:val="22"/>
                <w:szCs w:val="22"/>
              </w:rPr>
              <w:t xml:space="preserve">Directeur Administratif et Financier </w:t>
            </w:r>
            <w:r w:rsidRPr="00A86A24">
              <w:rPr>
                <w:rFonts w:cs="Times New Roman"/>
                <w:b/>
                <w:bCs/>
                <w:sz w:val="22"/>
                <w:szCs w:val="22"/>
              </w:rPr>
              <w:t>d’un</w:t>
            </w:r>
            <w:r w:rsidRPr="00A86A24">
              <w:rPr>
                <w:rFonts w:cs="Times New Roman"/>
                <w:b/>
                <w:sz w:val="22"/>
                <w:szCs w:val="22"/>
              </w:rPr>
              <w:t xml:space="preserve"> Programme en charge de L’Enseignement Supérieur, en Côte d’Ivoire.</w:t>
            </w:r>
          </w:p>
          <w:p w14:paraId="3B43A2FB" w14:textId="77777777" w:rsidR="00A87871" w:rsidRPr="00A86A24" w:rsidRDefault="00A87871" w:rsidP="00AC5A9F">
            <w:pPr>
              <w:spacing w:line="360" w:lineRule="auto"/>
              <w:ind w:right="-58" w:firstLine="708"/>
              <w:jc w:val="both"/>
              <w:rPr>
                <w:rFonts w:cs="Times New Roman"/>
                <w:sz w:val="22"/>
                <w:szCs w:val="22"/>
              </w:rPr>
            </w:pPr>
            <w:r w:rsidRPr="00A86A24">
              <w:rPr>
                <w:rFonts w:cs="Times New Roman"/>
                <w:b/>
                <w:sz w:val="22"/>
                <w:szCs w:val="22"/>
              </w:rPr>
              <w:t>En effet, K.M.I,</w:t>
            </w:r>
            <w:r w:rsidRPr="00A86A24">
              <w:rPr>
                <w:rFonts w:cs="Times New Roman"/>
                <w:sz w:val="22"/>
                <w:szCs w:val="22"/>
              </w:rPr>
              <w:t xml:space="preserve"> chargé d’indemniser les riverains impactés par un projet de construction d’une Université dans une ville de l’intérieur du pays, a fait ouvrir, par la nommée </w:t>
            </w:r>
            <w:r w:rsidRPr="00A86A24">
              <w:rPr>
                <w:rFonts w:cs="Times New Roman"/>
                <w:b/>
                <w:sz w:val="22"/>
                <w:szCs w:val="22"/>
              </w:rPr>
              <w:t>A.A.E.R</w:t>
            </w:r>
            <w:r w:rsidRPr="00A86A24">
              <w:rPr>
                <w:rFonts w:cs="Times New Roman"/>
                <w:sz w:val="22"/>
                <w:szCs w:val="22"/>
              </w:rPr>
              <w:t xml:space="preserve">, chargée d’affaires d’une banque </w:t>
            </w:r>
            <w:r w:rsidRPr="00A86A24">
              <w:rPr>
                <w:rFonts w:cs="Times New Roman"/>
                <w:b/>
                <w:sz w:val="22"/>
                <w:szCs w:val="22"/>
              </w:rPr>
              <w:t>(BDA)</w:t>
            </w:r>
            <w:r w:rsidRPr="00A86A24">
              <w:rPr>
                <w:rFonts w:cs="Times New Roman"/>
                <w:sz w:val="22"/>
                <w:szCs w:val="22"/>
              </w:rPr>
              <w:t>, dans les livres de ladite banque</w:t>
            </w:r>
            <w:r w:rsidRPr="00A86A24">
              <w:rPr>
                <w:rFonts w:cs="Times New Roman"/>
                <w:b/>
                <w:sz w:val="22"/>
                <w:szCs w:val="22"/>
              </w:rPr>
              <w:t>, 43 comptes bancaires</w:t>
            </w:r>
            <w:r w:rsidRPr="00A86A24">
              <w:rPr>
                <w:rFonts w:cs="Times New Roman"/>
                <w:sz w:val="22"/>
                <w:szCs w:val="22"/>
              </w:rPr>
              <w:t xml:space="preserve"> au profit de présumés bénéficiaires d’indemnités prévues pour les déguerpis.</w:t>
            </w:r>
          </w:p>
          <w:p w14:paraId="2CD048EF" w14:textId="6A968265" w:rsidR="00A87871" w:rsidRPr="00A86A24" w:rsidRDefault="00A87871" w:rsidP="00AC5A9F">
            <w:pPr>
              <w:spacing w:line="360" w:lineRule="auto"/>
              <w:ind w:right="-58" w:firstLine="708"/>
              <w:jc w:val="both"/>
              <w:rPr>
                <w:rFonts w:cs="Times New Roman"/>
                <w:b/>
                <w:sz w:val="22"/>
                <w:szCs w:val="22"/>
              </w:rPr>
            </w:pPr>
            <w:r w:rsidRPr="00A86A24">
              <w:rPr>
                <w:rFonts w:cs="Times New Roman"/>
                <w:sz w:val="22"/>
                <w:szCs w:val="22"/>
              </w:rPr>
              <w:t>Avec la complicité de cet agent de banque,</w:t>
            </w:r>
            <w:r w:rsidRPr="00A86A24">
              <w:rPr>
                <w:rFonts w:cs="Times New Roman"/>
                <w:b/>
                <w:sz w:val="22"/>
                <w:szCs w:val="22"/>
              </w:rPr>
              <w:t xml:space="preserve"> K.M.I</w:t>
            </w:r>
            <w:r w:rsidRPr="00A86A24">
              <w:rPr>
                <w:rFonts w:cs="Times New Roman"/>
                <w:sz w:val="22"/>
                <w:szCs w:val="22"/>
              </w:rPr>
              <w:t xml:space="preserve"> a fait créditer lesdits comptes bancaires d’un montant global </w:t>
            </w:r>
            <w:r w:rsidRPr="00A86A24">
              <w:rPr>
                <w:rFonts w:cs="Times New Roman"/>
                <w:b/>
                <w:sz w:val="22"/>
                <w:szCs w:val="22"/>
              </w:rPr>
              <w:t>de 1.678.892.916 FCFA, soit 2.559.287 euros, par plusieurs virements</w:t>
            </w:r>
            <w:r w:rsidRPr="00A86A24">
              <w:rPr>
                <w:rFonts w:cs="Times New Roman"/>
                <w:sz w:val="22"/>
                <w:szCs w:val="22"/>
              </w:rPr>
              <w:t xml:space="preserve"> </w:t>
            </w:r>
            <w:r w:rsidRPr="00A86A24">
              <w:rPr>
                <w:rFonts w:cs="Times New Roman"/>
                <w:b/>
                <w:sz w:val="22"/>
                <w:szCs w:val="22"/>
              </w:rPr>
              <w:t xml:space="preserve">depuis le compte </w:t>
            </w:r>
            <w:r w:rsidRPr="00A86A24">
              <w:rPr>
                <w:rFonts w:cs="Times New Roman"/>
                <w:b/>
                <w:bCs/>
                <w:sz w:val="22"/>
                <w:szCs w:val="22"/>
              </w:rPr>
              <w:t>d, dudit Programme logé</w:t>
            </w:r>
            <w:r w:rsidRPr="00A86A24">
              <w:rPr>
                <w:rFonts w:cs="Times New Roman"/>
                <w:b/>
                <w:sz w:val="22"/>
                <w:szCs w:val="22"/>
              </w:rPr>
              <w:t xml:space="preserve"> au Trésor Public.</w:t>
            </w:r>
          </w:p>
          <w:p w14:paraId="4D8AB2D1" w14:textId="77777777" w:rsidR="00A87871" w:rsidRPr="00A86A24" w:rsidRDefault="00A87871" w:rsidP="00AC5A9F">
            <w:pPr>
              <w:spacing w:line="360" w:lineRule="auto"/>
              <w:ind w:right="-58" w:firstLine="708"/>
              <w:jc w:val="both"/>
              <w:rPr>
                <w:rFonts w:cs="Times New Roman"/>
                <w:sz w:val="22"/>
                <w:szCs w:val="22"/>
              </w:rPr>
            </w:pPr>
            <w:r w:rsidRPr="00A86A24">
              <w:rPr>
                <w:rFonts w:cs="Times New Roman"/>
                <w:sz w:val="22"/>
                <w:szCs w:val="22"/>
              </w:rPr>
              <w:t xml:space="preserve">Ces comptes bancaires étaient débités systématiquement par diverses opérations de transferts, remises de chèques et retraits d’espèces, au profit de diverses sociétés dont </w:t>
            </w:r>
            <w:r w:rsidRPr="00A86A24">
              <w:rPr>
                <w:rFonts w:cs="Times New Roman"/>
                <w:b/>
                <w:sz w:val="22"/>
                <w:szCs w:val="22"/>
              </w:rPr>
              <w:t>K.M.I</w:t>
            </w:r>
            <w:r w:rsidRPr="00A86A24">
              <w:rPr>
                <w:rFonts w:cs="Times New Roman"/>
                <w:sz w:val="22"/>
                <w:szCs w:val="22"/>
              </w:rPr>
              <w:t xml:space="preserve"> était identifié comme étant </w:t>
            </w:r>
            <w:r w:rsidRPr="00A86A24">
              <w:rPr>
                <w:rFonts w:cs="Times New Roman"/>
                <w:b/>
                <w:sz w:val="22"/>
                <w:szCs w:val="22"/>
              </w:rPr>
              <w:t>le bénéficiaire effectif</w:t>
            </w:r>
            <w:r w:rsidRPr="00A86A24">
              <w:rPr>
                <w:rFonts w:cs="Times New Roman"/>
                <w:sz w:val="22"/>
                <w:szCs w:val="22"/>
              </w:rPr>
              <w:t>.</w:t>
            </w:r>
          </w:p>
          <w:p w14:paraId="214BAAD2" w14:textId="5EC28A86" w:rsidR="00A87871" w:rsidRPr="00A86A24" w:rsidRDefault="00A87871" w:rsidP="00C9761C">
            <w:pPr>
              <w:spacing w:line="360" w:lineRule="auto"/>
              <w:ind w:right="-58" w:firstLine="708"/>
              <w:jc w:val="both"/>
              <w:rPr>
                <w:rFonts w:cs="Times New Roman"/>
                <w:sz w:val="22"/>
                <w:szCs w:val="22"/>
              </w:rPr>
            </w:pPr>
            <w:r w:rsidRPr="00A86A24">
              <w:rPr>
                <w:rFonts w:cs="Times New Roman"/>
                <w:sz w:val="22"/>
                <w:szCs w:val="22"/>
              </w:rPr>
              <w:t xml:space="preserve">L’enquête du Magistrat instructeur, permettait de découvrir que </w:t>
            </w:r>
            <w:r w:rsidRPr="00A86A24">
              <w:rPr>
                <w:rFonts w:cs="Times New Roman"/>
                <w:b/>
                <w:sz w:val="22"/>
                <w:szCs w:val="22"/>
              </w:rPr>
              <w:t>K.M.I</w:t>
            </w:r>
            <w:r w:rsidRPr="00A86A24">
              <w:rPr>
                <w:rFonts w:cs="Times New Roman"/>
                <w:sz w:val="22"/>
                <w:szCs w:val="22"/>
              </w:rPr>
              <w:t xml:space="preserve"> a progressivement fait transférer, depuis son compte bancaire logé à B.B.G. Côte d’Ivoire, plusieurs </w:t>
            </w:r>
            <w:proofErr w:type="gramStart"/>
            <w:r w:rsidRPr="00A86A24">
              <w:rPr>
                <w:rFonts w:cs="Times New Roman"/>
                <w:sz w:val="22"/>
                <w:szCs w:val="22"/>
              </w:rPr>
              <w:t>sommes</w:t>
            </w:r>
            <w:proofErr w:type="gramEnd"/>
            <w:r w:rsidRPr="00A86A24">
              <w:rPr>
                <w:rFonts w:cs="Times New Roman"/>
                <w:sz w:val="22"/>
                <w:szCs w:val="22"/>
              </w:rPr>
              <w:t xml:space="preserve"> d’argent d’un montant total de </w:t>
            </w:r>
            <w:r w:rsidRPr="00A86A24">
              <w:rPr>
                <w:rFonts w:cs="Times New Roman"/>
                <w:b/>
                <w:sz w:val="22"/>
                <w:szCs w:val="22"/>
              </w:rPr>
              <w:t xml:space="preserve">280.267.700 FCFA </w:t>
            </w:r>
            <w:r w:rsidRPr="00A86A24">
              <w:rPr>
                <w:rFonts w:cs="Times New Roman"/>
                <w:b/>
                <w:bCs/>
                <w:sz w:val="22"/>
                <w:szCs w:val="22"/>
              </w:rPr>
              <w:t>soit 426 587 euros</w:t>
            </w:r>
            <w:r w:rsidRPr="00A86A24">
              <w:rPr>
                <w:rFonts w:cs="Times New Roman"/>
                <w:sz w:val="22"/>
                <w:szCs w:val="22"/>
              </w:rPr>
              <w:t xml:space="preserve"> au profit des entreprises </w:t>
            </w:r>
            <w:r w:rsidRPr="00A86A24">
              <w:rPr>
                <w:rFonts w:cs="Times New Roman"/>
                <w:b/>
                <w:sz w:val="22"/>
                <w:szCs w:val="22"/>
              </w:rPr>
              <w:t>S. SARL, K. GROUP SA et T. P SA</w:t>
            </w:r>
            <w:r w:rsidRPr="00A86A24">
              <w:rPr>
                <w:rFonts w:cs="Times New Roman"/>
                <w:sz w:val="22"/>
                <w:szCs w:val="22"/>
              </w:rPr>
              <w:t>, basées dans un pays S. de la sous-région.</w:t>
            </w:r>
          </w:p>
          <w:p w14:paraId="6EE502BE" w14:textId="77777777" w:rsidR="00A87871" w:rsidRPr="00A86A24" w:rsidRDefault="00A87871" w:rsidP="00AC5A9F">
            <w:pPr>
              <w:pStyle w:val="NormalWeb"/>
              <w:spacing w:line="360" w:lineRule="auto"/>
              <w:ind w:right="-58"/>
              <w:jc w:val="both"/>
              <w:rPr>
                <w:b/>
                <w:bCs/>
                <w:sz w:val="22"/>
                <w:szCs w:val="22"/>
                <w:lang w:val="fr-FR"/>
              </w:rPr>
            </w:pPr>
            <w:r w:rsidRPr="00A86A24">
              <w:rPr>
                <w:b/>
                <w:sz w:val="22"/>
                <w:szCs w:val="22"/>
                <w:lang w:val="fr-FR"/>
              </w:rPr>
              <w:t>Une demande d’entraide judiciaire a été adressée aux autorités judiciaires du pays S</w:t>
            </w:r>
            <w:r w:rsidRPr="00A86A24">
              <w:rPr>
                <w:b/>
                <w:bCs/>
                <w:sz w:val="22"/>
                <w:szCs w:val="22"/>
                <w:lang w:val="fr-FR"/>
              </w:rPr>
              <w:t>.</w:t>
            </w:r>
            <w:r w:rsidRPr="00A86A24">
              <w:rPr>
                <w:b/>
                <w:sz w:val="22"/>
                <w:szCs w:val="22"/>
                <w:lang w:val="fr-FR"/>
              </w:rPr>
              <w:t xml:space="preserve"> et l’information pour la recherche d’autres suspects et le dépistage des avoirs criminels est en cours.</w:t>
            </w:r>
          </w:p>
        </w:tc>
      </w:tr>
    </w:tbl>
    <w:p w14:paraId="689A6869" w14:textId="77777777" w:rsidR="00AF50E3" w:rsidRDefault="00AF50E3" w:rsidP="00AF50E3"/>
    <w:p w14:paraId="12C1103B" w14:textId="77777777" w:rsidR="00AF50E3" w:rsidRDefault="00AF50E3" w:rsidP="00AF50E3"/>
    <w:p w14:paraId="58237FF6" w14:textId="77777777" w:rsidR="00AF50E3" w:rsidRDefault="00AF50E3" w:rsidP="00AF50E3"/>
    <w:p w14:paraId="249D8A39" w14:textId="77777777" w:rsidR="00AF50E3" w:rsidRDefault="00AF50E3" w:rsidP="00AF50E3"/>
    <w:p w14:paraId="1E1F9669" w14:textId="77777777" w:rsidR="00AF50E3" w:rsidRDefault="00AF50E3" w:rsidP="00AF50E3"/>
    <w:p w14:paraId="13A82E75" w14:textId="77777777" w:rsidR="00AF50E3" w:rsidRDefault="00AF50E3" w:rsidP="00AF50E3"/>
    <w:p w14:paraId="5DB852EE" w14:textId="77777777" w:rsidR="00AF50E3" w:rsidRDefault="00AF50E3" w:rsidP="00AF50E3"/>
    <w:p w14:paraId="71910944" w14:textId="2B153B8D" w:rsidR="00E57C1A" w:rsidRPr="00CF7B3C" w:rsidRDefault="00824D75" w:rsidP="00DD206B">
      <w:pPr>
        <w:pStyle w:val="Titre3"/>
        <w:rPr>
          <w:sz w:val="22"/>
        </w:rPr>
      </w:pPr>
      <w:bookmarkStart w:id="21" w:name="_Toc213326905"/>
      <w:r w:rsidRPr="00CF7B3C">
        <w:rPr>
          <w:sz w:val="22"/>
        </w:rPr>
        <w:lastRenderedPageBreak/>
        <w:t>Evaluation</w:t>
      </w:r>
      <w:r w:rsidR="00E57C1A" w:rsidRPr="00CF7B3C">
        <w:rPr>
          <w:sz w:val="22"/>
        </w:rPr>
        <w:t xml:space="preserve"> de la menace liée a</w:t>
      </w:r>
      <w:r w:rsidR="00DB43E6" w:rsidRPr="00CF7B3C">
        <w:rPr>
          <w:sz w:val="22"/>
        </w:rPr>
        <w:t>ux</w:t>
      </w:r>
      <w:r w:rsidR="00E57C1A" w:rsidRPr="00CF7B3C">
        <w:rPr>
          <w:sz w:val="22"/>
        </w:rPr>
        <w:t xml:space="preserve"> Autres I</w:t>
      </w:r>
      <w:r w:rsidR="00E91F87" w:rsidRPr="00CF7B3C">
        <w:rPr>
          <w:sz w:val="22"/>
        </w:rPr>
        <w:t xml:space="preserve">nstitutions </w:t>
      </w:r>
      <w:r w:rsidR="00E57C1A" w:rsidRPr="00CF7B3C">
        <w:rPr>
          <w:sz w:val="22"/>
        </w:rPr>
        <w:t>F</w:t>
      </w:r>
      <w:r w:rsidR="00E91F87" w:rsidRPr="00CF7B3C">
        <w:rPr>
          <w:sz w:val="22"/>
        </w:rPr>
        <w:t>inancières (AIF)</w:t>
      </w:r>
      <w:bookmarkEnd w:id="21"/>
    </w:p>
    <w:p w14:paraId="0A80456C" w14:textId="02D49505" w:rsidR="00A35519" w:rsidRPr="00114283" w:rsidRDefault="00A35519" w:rsidP="00DD206B">
      <w:pPr>
        <w:tabs>
          <w:tab w:val="left" w:pos="567"/>
        </w:tabs>
        <w:spacing w:before="240" w:after="120" w:line="360" w:lineRule="auto"/>
        <w:contextualSpacing/>
        <w:jc w:val="both"/>
        <w:rPr>
          <w:rFonts w:cs="Times New Roman"/>
          <w:sz w:val="24"/>
          <w:szCs w:val="24"/>
        </w:rPr>
      </w:pPr>
      <w:r w:rsidRPr="00ED5B9E">
        <w:rPr>
          <w:rFonts w:cs="Times New Roman"/>
          <w:sz w:val="24"/>
          <w:szCs w:val="24"/>
        </w:rPr>
        <w:t xml:space="preserve">Les AIF ivoiriennes sont composées de cent </w:t>
      </w:r>
      <w:r w:rsidR="00B91B46" w:rsidRPr="00ED5B9E">
        <w:rPr>
          <w:rFonts w:cs="Times New Roman"/>
          <w:sz w:val="24"/>
          <w:szCs w:val="24"/>
        </w:rPr>
        <w:t>soixante et neuf</w:t>
      </w:r>
      <w:r w:rsidRPr="00ED5B9E">
        <w:rPr>
          <w:rFonts w:cs="Times New Roman"/>
          <w:sz w:val="24"/>
          <w:szCs w:val="24"/>
        </w:rPr>
        <w:t xml:space="preserve"> </w:t>
      </w:r>
      <w:r w:rsidRPr="000E6CAC">
        <w:rPr>
          <w:rFonts w:cs="Times New Roman"/>
          <w:sz w:val="24"/>
          <w:szCs w:val="24"/>
        </w:rPr>
        <w:t>(1</w:t>
      </w:r>
      <w:r w:rsidR="00B91B46" w:rsidRPr="000E6CAC">
        <w:rPr>
          <w:rFonts w:cs="Times New Roman"/>
          <w:sz w:val="24"/>
          <w:szCs w:val="24"/>
        </w:rPr>
        <w:t>69</w:t>
      </w:r>
      <w:r w:rsidRPr="000E6CAC">
        <w:rPr>
          <w:rFonts w:cs="Times New Roman"/>
          <w:sz w:val="24"/>
          <w:szCs w:val="24"/>
        </w:rPr>
        <w:t>) institutions parmi lesquelles nous avons quarante-</w:t>
      </w:r>
      <w:r w:rsidR="000D7A16" w:rsidRPr="000E6CAC">
        <w:rPr>
          <w:rFonts w:cs="Times New Roman"/>
          <w:sz w:val="24"/>
          <w:szCs w:val="24"/>
        </w:rPr>
        <w:t>quatre</w:t>
      </w:r>
      <w:r w:rsidRPr="000E6CAC">
        <w:rPr>
          <w:rFonts w:cs="Times New Roman"/>
          <w:sz w:val="24"/>
          <w:szCs w:val="24"/>
        </w:rPr>
        <w:t xml:space="preserve"> (4</w:t>
      </w:r>
      <w:r w:rsidR="00BC6E71" w:rsidRPr="000E6CAC">
        <w:rPr>
          <w:rFonts w:cs="Times New Roman"/>
          <w:sz w:val="24"/>
          <w:szCs w:val="24"/>
        </w:rPr>
        <w:t>4</w:t>
      </w:r>
      <w:r w:rsidRPr="000E6CAC">
        <w:rPr>
          <w:rFonts w:cs="Times New Roman"/>
          <w:sz w:val="24"/>
          <w:szCs w:val="24"/>
        </w:rPr>
        <w:t xml:space="preserve">) Systèmes Financiers Décentralisés (SFD), </w:t>
      </w:r>
      <w:r w:rsidR="00B91B46" w:rsidRPr="000E6CAC">
        <w:rPr>
          <w:rFonts w:cs="Times New Roman"/>
          <w:sz w:val="24"/>
          <w:szCs w:val="24"/>
        </w:rPr>
        <w:t>quatre</w:t>
      </w:r>
      <w:r w:rsidRPr="000E6CAC">
        <w:rPr>
          <w:rFonts w:cs="Times New Roman"/>
          <w:sz w:val="24"/>
          <w:szCs w:val="24"/>
        </w:rPr>
        <w:t xml:space="preserve"> (</w:t>
      </w:r>
      <w:r w:rsidR="00B91B46" w:rsidRPr="000E6CAC">
        <w:rPr>
          <w:rFonts w:cs="Times New Roman"/>
          <w:sz w:val="24"/>
          <w:szCs w:val="24"/>
        </w:rPr>
        <w:t>04</w:t>
      </w:r>
      <w:r w:rsidRPr="000E6CAC">
        <w:rPr>
          <w:rFonts w:cs="Times New Roman"/>
          <w:sz w:val="24"/>
          <w:szCs w:val="24"/>
        </w:rPr>
        <w:t>) Émetteurs de Monnaie Électronique (EME) et cent</w:t>
      </w:r>
      <w:r w:rsidR="00A6326F" w:rsidRPr="000E6CAC">
        <w:rPr>
          <w:rFonts w:cs="Times New Roman"/>
          <w:sz w:val="24"/>
          <w:szCs w:val="24"/>
        </w:rPr>
        <w:t>-</w:t>
      </w:r>
      <w:r w:rsidR="000D7A16" w:rsidRPr="000E6CAC">
        <w:rPr>
          <w:rFonts w:cs="Times New Roman"/>
          <w:sz w:val="24"/>
          <w:szCs w:val="24"/>
        </w:rPr>
        <w:t>vingt et un</w:t>
      </w:r>
      <w:r w:rsidRPr="000E6CAC">
        <w:rPr>
          <w:rFonts w:cs="Times New Roman"/>
          <w:sz w:val="24"/>
          <w:szCs w:val="24"/>
        </w:rPr>
        <w:t xml:space="preserve"> (1</w:t>
      </w:r>
      <w:r w:rsidR="00F63F0A" w:rsidRPr="000E6CAC">
        <w:rPr>
          <w:rFonts w:cs="Times New Roman"/>
          <w:sz w:val="24"/>
          <w:szCs w:val="24"/>
        </w:rPr>
        <w:t>21</w:t>
      </w:r>
      <w:r w:rsidRPr="000E6CAC">
        <w:rPr>
          <w:rFonts w:cs="Times New Roman"/>
          <w:sz w:val="24"/>
          <w:szCs w:val="24"/>
        </w:rPr>
        <w:t>) Agréés de Change Manuel (ACM).</w:t>
      </w:r>
    </w:p>
    <w:p w14:paraId="29AB8C5F" w14:textId="1245D32C" w:rsidR="00A35519" w:rsidRPr="00114283" w:rsidRDefault="00A35519" w:rsidP="00DD206B">
      <w:pPr>
        <w:tabs>
          <w:tab w:val="left" w:pos="567"/>
        </w:tabs>
        <w:spacing w:before="240" w:after="120" w:line="360" w:lineRule="auto"/>
        <w:contextualSpacing/>
        <w:jc w:val="both"/>
        <w:rPr>
          <w:rFonts w:cs="Times New Roman"/>
          <w:sz w:val="24"/>
          <w:szCs w:val="24"/>
        </w:rPr>
      </w:pPr>
      <w:r w:rsidRPr="00114283">
        <w:rPr>
          <w:rFonts w:cs="Times New Roman"/>
          <w:sz w:val="24"/>
          <w:szCs w:val="24"/>
        </w:rPr>
        <w:t>Selon chaque secteur, les AIF pourraient être exposées, entre autres, aux menaces ci-après :</w:t>
      </w:r>
    </w:p>
    <w:p w14:paraId="470F28BC" w14:textId="62B0BA1A" w:rsidR="00A35519" w:rsidRPr="00114283" w:rsidRDefault="00A35519" w:rsidP="00DD206B">
      <w:pPr>
        <w:pStyle w:val="Paragraphedeliste"/>
        <w:numPr>
          <w:ilvl w:val="0"/>
          <w:numId w:val="7"/>
        </w:numPr>
        <w:tabs>
          <w:tab w:val="left" w:pos="567"/>
        </w:tabs>
        <w:spacing w:before="240" w:after="120" w:line="360" w:lineRule="auto"/>
        <w:jc w:val="both"/>
        <w:rPr>
          <w:rFonts w:cs="Times New Roman"/>
          <w:sz w:val="24"/>
          <w:szCs w:val="24"/>
        </w:rPr>
      </w:pPr>
      <w:proofErr w:type="gramStart"/>
      <w:r w:rsidRPr="00114283">
        <w:rPr>
          <w:rFonts w:cs="Times New Roman"/>
          <w:sz w:val="24"/>
          <w:szCs w:val="24"/>
        </w:rPr>
        <w:t>les</w:t>
      </w:r>
      <w:proofErr w:type="gramEnd"/>
      <w:r w:rsidRPr="00114283">
        <w:rPr>
          <w:rFonts w:cs="Times New Roman"/>
          <w:sz w:val="24"/>
          <w:szCs w:val="24"/>
        </w:rPr>
        <w:t xml:space="preserve"> SFD sont exposés aux infractions liées aux chèques et instruments de paiement, au détournement de fonds par des personnes exerçant une fonction publique et à la fraude ;</w:t>
      </w:r>
    </w:p>
    <w:p w14:paraId="643D1B85" w14:textId="08507930" w:rsidR="00A35519" w:rsidRPr="00114283" w:rsidRDefault="00A35519" w:rsidP="00DD206B">
      <w:pPr>
        <w:pStyle w:val="Paragraphedeliste"/>
        <w:numPr>
          <w:ilvl w:val="0"/>
          <w:numId w:val="7"/>
        </w:numPr>
        <w:tabs>
          <w:tab w:val="left" w:pos="567"/>
        </w:tabs>
        <w:spacing w:before="240" w:after="120" w:line="360" w:lineRule="auto"/>
        <w:jc w:val="both"/>
        <w:rPr>
          <w:rFonts w:cs="Times New Roman"/>
          <w:sz w:val="24"/>
          <w:szCs w:val="24"/>
        </w:rPr>
      </w:pPr>
      <w:proofErr w:type="gramStart"/>
      <w:r w:rsidRPr="00114283">
        <w:rPr>
          <w:rFonts w:cs="Times New Roman"/>
          <w:sz w:val="24"/>
          <w:szCs w:val="24"/>
        </w:rPr>
        <w:t>les</w:t>
      </w:r>
      <w:proofErr w:type="gramEnd"/>
      <w:r w:rsidRPr="00114283">
        <w:rPr>
          <w:rFonts w:cs="Times New Roman"/>
          <w:sz w:val="24"/>
          <w:szCs w:val="24"/>
        </w:rPr>
        <w:t xml:space="preserve"> EME sont exposées au faux et usage de faux et à la cybercriminalité ;</w:t>
      </w:r>
    </w:p>
    <w:p w14:paraId="4F20AB51" w14:textId="638776C8" w:rsidR="00A35519" w:rsidRPr="00114283" w:rsidRDefault="00A35519" w:rsidP="00DD206B">
      <w:pPr>
        <w:pStyle w:val="Paragraphedeliste"/>
        <w:numPr>
          <w:ilvl w:val="0"/>
          <w:numId w:val="7"/>
        </w:numPr>
        <w:tabs>
          <w:tab w:val="left" w:pos="567"/>
        </w:tabs>
        <w:spacing w:before="240" w:after="120" w:line="360" w:lineRule="auto"/>
        <w:jc w:val="both"/>
        <w:rPr>
          <w:rFonts w:cs="Times New Roman"/>
          <w:sz w:val="24"/>
          <w:szCs w:val="24"/>
        </w:rPr>
      </w:pPr>
      <w:proofErr w:type="gramStart"/>
      <w:r w:rsidRPr="00114283">
        <w:rPr>
          <w:rFonts w:cs="Times New Roman"/>
          <w:sz w:val="24"/>
          <w:szCs w:val="24"/>
        </w:rPr>
        <w:t>les</w:t>
      </w:r>
      <w:proofErr w:type="gramEnd"/>
      <w:r w:rsidRPr="00114283">
        <w:rPr>
          <w:rFonts w:cs="Times New Roman"/>
          <w:sz w:val="24"/>
          <w:szCs w:val="24"/>
        </w:rPr>
        <w:t xml:space="preserve"> ACM sont exposés aux infractions liées au faux monnayage.</w:t>
      </w:r>
    </w:p>
    <w:p w14:paraId="7C2B338B" w14:textId="414611A3" w:rsidR="00A35519" w:rsidRPr="00114283" w:rsidRDefault="00A35519" w:rsidP="00DD206B">
      <w:pPr>
        <w:tabs>
          <w:tab w:val="left" w:pos="567"/>
        </w:tabs>
        <w:spacing w:before="240" w:after="120" w:line="360" w:lineRule="auto"/>
        <w:contextualSpacing/>
        <w:jc w:val="both"/>
        <w:rPr>
          <w:rFonts w:cs="Times New Roman"/>
          <w:sz w:val="24"/>
          <w:szCs w:val="24"/>
        </w:rPr>
      </w:pPr>
      <w:r w:rsidRPr="00114283">
        <w:rPr>
          <w:rFonts w:cs="Times New Roman"/>
          <w:sz w:val="24"/>
          <w:szCs w:val="24"/>
        </w:rPr>
        <w:t xml:space="preserve">L’ENR a relevé une menace « élevée » des AIF. </w:t>
      </w:r>
    </w:p>
    <w:p w14:paraId="6D1F60E4" w14:textId="35BDF7D8" w:rsidR="00A35519" w:rsidRPr="00114283" w:rsidRDefault="00A35519" w:rsidP="00DD206B">
      <w:pPr>
        <w:tabs>
          <w:tab w:val="left" w:pos="567"/>
        </w:tabs>
        <w:spacing w:before="240" w:after="120" w:line="360" w:lineRule="auto"/>
        <w:contextualSpacing/>
        <w:jc w:val="both"/>
        <w:rPr>
          <w:rFonts w:cs="Times New Roman"/>
          <w:sz w:val="24"/>
          <w:szCs w:val="24"/>
        </w:rPr>
      </w:pPr>
      <w:r w:rsidRPr="00114283">
        <w:rPr>
          <w:rFonts w:cs="Times New Roman"/>
          <w:sz w:val="24"/>
          <w:szCs w:val="24"/>
        </w:rPr>
        <w:t>Sur la période 2022-2023, la DITT a traité 2 108 dossiers relatifs à la fraude sur les transactions électroniques pour un préjudice de 1 440 801 836 francs CFA. En outre, elle a adressé 2 398 réquisitions relatives aux transactions électroniques sur la période 2022 à 2024.</w:t>
      </w:r>
    </w:p>
    <w:p w14:paraId="70210597" w14:textId="54898331" w:rsidR="00A35519" w:rsidRPr="00114283" w:rsidRDefault="00A35519" w:rsidP="00DD206B">
      <w:pPr>
        <w:tabs>
          <w:tab w:val="left" w:pos="567"/>
        </w:tabs>
        <w:spacing w:before="240" w:after="120" w:line="360" w:lineRule="auto"/>
        <w:contextualSpacing/>
        <w:jc w:val="both"/>
        <w:rPr>
          <w:rFonts w:cs="Times New Roman"/>
          <w:sz w:val="24"/>
          <w:szCs w:val="24"/>
        </w:rPr>
      </w:pPr>
      <w:r w:rsidRPr="00114283">
        <w:rPr>
          <w:rFonts w:cs="Times New Roman"/>
          <w:sz w:val="24"/>
          <w:szCs w:val="24"/>
        </w:rPr>
        <w:t xml:space="preserve">De juillet 2022 à août 2024, le CROAT et la SATT ont effectué 5 985 réquisitions aux banques mobiles, la DITT a effectué 1 881 réquisitions aux opérateurs Mobile Money (Orange-Money ; MTN-Money ; </w:t>
      </w:r>
      <w:proofErr w:type="spellStart"/>
      <w:r w:rsidRPr="00114283">
        <w:rPr>
          <w:rFonts w:cs="Times New Roman"/>
          <w:sz w:val="24"/>
          <w:szCs w:val="24"/>
        </w:rPr>
        <w:t>Flooz</w:t>
      </w:r>
      <w:proofErr w:type="spellEnd"/>
      <w:r w:rsidRPr="00114283">
        <w:rPr>
          <w:rFonts w:cs="Times New Roman"/>
          <w:sz w:val="24"/>
          <w:szCs w:val="24"/>
        </w:rPr>
        <w:t xml:space="preserve">) et 517 aux opérateurs de transfert d'argent (Western Union ; Ria ; Money-Gram ; </w:t>
      </w:r>
      <w:proofErr w:type="spellStart"/>
      <w:r w:rsidRPr="00114283">
        <w:rPr>
          <w:rFonts w:cs="Times New Roman"/>
          <w:sz w:val="24"/>
          <w:szCs w:val="24"/>
        </w:rPr>
        <w:t>Wave</w:t>
      </w:r>
      <w:proofErr w:type="spellEnd"/>
      <w:r w:rsidRPr="00114283">
        <w:rPr>
          <w:rFonts w:cs="Times New Roman"/>
          <w:sz w:val="24"/>
          <w:szCs w:val="24"/>
        </w:rPr>
        <w:t>). Sur la même période, la D</w:t>
      </w:r>
      <w:r w:rsidR="00E15A8B">
        <w:rPr>
          <w:rFonts w:cs="Times New Roman"/>
          <w:sz w:val="24"/>
          <w:szCs w:val="24"/>
        </w:rPr>
        <w:t xml:space="preserve">irection de la </w:t>
      </w:r>
      <w:r w:rsidRPr="00114283">
        <w:rPr>
          <w:rFonts w:cs="Times New Roman"/>
          <w:sz w:val="24"/>
          <w:szCs w:val="24"/>
        </w:rPr>
        <w:t>P</w:t>
      </w:r>
      <w:r w:rsidR="00E15A8B">
        <w:rPr>
          <w:rFonts w:cs="Times New Roman"/>
          <w:sz w:val="24"/>
          <w:szCs w:val="24"/>
        </w:rPr>
        <w:t xml:space="preserve">olice </w:t>
      </w:r>
      <w:r w:rsidRPr="00114283">
        <w:rPr>
          <w:rFonts w:cs="Times New Roman"/>
          <w:sz w:val="24"/>
          <w:szCs w:val="24"/>
        </w:rPr>
        <w:t>C</w:t>
      </w:r>
      <w:r w:rsidR="00E15A8B">
        <w:rPr>
          <w:rFonts w:cs="Times New Roman"/>
          <w:sz w:val="24"/>
          <w:szCs w:val="24"/>
        </w:rPr>
        <w:t>riminelle (DPC)</w:t>
      </w:r>
      <w:r w:rsidRPr="00114283">
        <w:rPr>
          <w:rFonts w:cs="Times New Roman"/>
          <w:sz w:val="24"/>
          <w:szCs w:val="24"/>
        </w:rPr>
        <w:t xml:space="preserve"> a adressé 78 réquisitions à l’Argent mobile.</w:t>
      </w:r>
    </w:p>
    <w:p w14:paraId="62264D94" w14:textId="7D25FF3E" w:rsidR="00A35519" w:rsidRPr="00114283" w:rsidRDefault="00A35519" w:rsidP="00DD206B">
      <w:pPr>
        <w:tabs>
          <w:tab w:val="left" w:pos="567"/>
        </w:tabs>
        <w:spacing w:before="240" w:after="120" w:line="360" w:lineRule="auto"/>
        <w:contextualSpacing/>
        <w:jc w:val="both"/>
        <w:rPr>
          <w:rFonts w:cs="Times New Roman"/>
          <w:sz w:val="24"/>
          <w:szCs w:val="24"/>
        </w:rPr>
      </w:pPr>
      <w:r w:rsidRPr="00114283">
        <w:rPr>
          <w:rFonts w:cs="Times New Roman"/>
          <w:sz w:val="24"/>
          <w:szCs w:val="24"/>
        </w:rPr>
        <w:t>Par ailleurs, sur la période de septembre 2024 à février 2025, l’UCT a adressé 14 réquisitions à ORANGE et MTN, la DPSD a adressé 11 réquisitions à ORANGE et 1 à MOOV, le CROAT et la SATT ont adressé 715 réquisitions à Orange, la DITT a adressé 336 réquisitions à ORANGE et la DPC a adressé 232 réquisitions à MTN, Orange et Moov.</w:t>
      </w:r>
    </w:p>
    <w:p w14:paraId="727B05EC" w14:textId="77777777" w:rsidR="00A35519" w:rsidRPr="00114283" w:rsidRDefault="00A35519" w:rsidP="00DD206B">
      <w:pPr>
        <w:tabs>
          <w:tab w:val="left" w:pos="567"/>
        </w:tabs>
        <w:spacing w:before="240" w:after="120" w:line="360" w:lineRule="auto"/>
        <w:contextualSpacing/>
        <w:jc w:val="both"/>
        <w:rPr>
          <w:rFonts w:cs="Times New Roman"/>
          <w:sz w:val="24"/>
          <w:szCs w:val="24"/>
        </w:rPr>
      </w:pPr>
      <w:r w:rsidRPr="00114283">
        <w:rPr>
          <w:rFonts w:cs="Times New Roman"/>
          <w:sz w:val="24"/>
          <w:szCs w:val="24"/>
        </w:rPr>
        <w:t>De 2022 à juin 2025, la CENTIF a reçu 193 DOS des SFD, 96 DOS des EME et agrégateurs de solutions.</w:t>
      </w:r>
    </w:p>
    <w:p w14:paraId="749F22CC" w14:textId="381F76C1" w:rsidR="00A35519" w:rsidRDefault="00DD3D5A" w:rsidP="00DD206B">
      <w:pPr>
        <w:tabs>
          <w:tab w:val="left" w:pos="567"/>
        </w:tabs>
        <w:spacing w:before="240" w:after="120" w:line="360" w:lineRule="auto"/>
        <w:contextualSpacing/>
        <w:jc w:val="both"/>
        <w:rPr>
          <w:rFonts w:cs="Times New Roman"/>
          <w:sz w:val="24"/>
          <w:szCs w:val="24"/>
        </w:rPr>
      </w:pPr>
      <w:r w:rsidRPr="00114283">
        <w:rPr>
          <w:rFonts w:cs="Times New Roman"/>
          <w:sz w:val="24"/>
          <w:szCs w:val="24"/>
        </w:rPr>
        <w:t xml:space="preserve">A ce jour, la perception des experts, couplée aux données de la CENTIF et de la DITT montrent que le niveau actuel de menace des AIF reste </w:t>
      </w:r>
      <w:r>
        <w:rPr>
          <w:rFonts w:cs="Times New Roman"/>
          <w:sz w:val="24"/>
          <w:szCs w:val="24"/>
        </w:rPr>
        <w:t>important</w:t>
      </w:r>
      <w:r w:rsidRPr="00114283">
        <w:rPr>
          <w:rFonts w:cs="Times New Roman"/>
          <w:sz w:val="24"/>
          <w:szCs w:val="24"/>
        </w:rPr>
        <w:t xml:space="preserve"> et qu’elles constituent des canaux de blanchiment.</w:t>
      </w:r>
    </w:p>
    <w:p w14:paraId="453743D4" w14:textId="77777777" w:rsidR="00832B83" w:rsidRDefault="00832B83" w:rsidP="00DD206B">
      <w:pPr>
        <w:tabs>
          <w:tab w:val="left" w:pos="567"/>
        </w:tabs>
        <w:spacing w:before="240" w:after="120" w:line="360" w:lineRule="auto"/>
        <w:contextualSpacing/>
        <w:jc w:val="both"/>
        <w:rPr>
          <w:rFonts w:cs="Times New Roman"/>
          <w:sz w:val="24"/>
          <w:szCs w:val="24"/>
        </w:rPr>
      </w:pPr>
    </w:p>
    <w:p w14:paraId="0AE2AB7F" w14:textId="77777777" w:rsidR="00AF50E3" w:rsidRPr="00114283" w:rsidRDefault="00AF50E3" w:rsidP="00DD206B">
      <w:pPr>
        <w:tabs>
          <w:tab w:val="left" w:pos="567"/>
        </w:tabs>
        <w:spacing w:before="240" w:after="120" w:line="360" w:lineRule="auto"/>
        <w:contextualSpacing/>
        <w:jc w:val="both"/>
        <w:rPr>
          <w:rFonts w:cs="Times New Roman"/>
          <w:sz w:val="24"/>
          <w:szCs w:val="24"/>
        </w:rPr>
      </w:pPr>
    </w:p>
    <w:tbl>
      <w:tblPr>
        <w:tblStyle w:val="Grilledutableau"/>
        <w:tblW w:w="9209" w:type="dxa"/>
        <w:shd w:val="clear" w:color="auto" w:fill="E8E8E8" w:themeFill="background2"/>
        <w:tblLook w:val="04A0" w:firstRow="1" w:lastRow="0" w:firstColumn="1" w:lastColumn="0" w:noHBand="0" w:noVBand="1"/>
      </w:tblPr>
      <w:tblGrid>
        <w:gridCol w:w="9209"/>
      </w:tblGrid>
      <w:tr w:rsidR="00832B83" w:rsidRPr="00A86A24" w14:paraId="5E8B83C4" w14:textId="77777777" w:rsidTr="0045310F">
        <w:tc>
          <w:tcPr>
            <w:tcW w:w="9209" w:type="dxa"/>
            <w:shd w:val="clear" w:color="auto" w:fill="E8E8E8" w:themeFill="background2"/>
          </w:tcPr>
          <w:p w14:paraId="1013869C" w14:textId="158A77FB" w:rsidR="00832B83" w:rsidRPr="00A86A24" w:rsidRDefault="00832B83" w:rsidP="0045310F">
            <w:pPr>
              <w:tabs>
                <w:tab w:val="left" w:pos="567"/>
              </w:tabs>
              <w:spacing w:before="240" w:after="120" w:line="360" w:lineRule="auto"/>
              <w:contextualSpacing/>
              <w:jc w:val="both"/>
              <w:rPr>
                <w:rFonts w:cs="Times New Roman"/>
                <w:b/>
                <w:bCs/>
                <w:sz w:val="22"/>
                <w:szCs w:val="22"/>
                <w:u w:val="single"/>
                <w:lang w:val="fr-CI"/>
              </w:rPr>
            </w:pPr>
            <w:r w:rsidRPr="00A86A24">
              <w:rPr>
                <w:rFonts w:cs="Times New Roman"/>
                <w:b/>
                <w:bCs/>
                <w:sz w:val="22"/>
                <w:szCs w:val="22"/>
                <w:u w:val="single"/>
                <w:lang w:val="fr-CI"/>
              </w:rPr>
              <w:lastRenderedPageBreak/>
              <w:t>Cas 1</w:t>
            </w:r>
            <w:r w:rsidR="00E25042">
              <w:rPr>
                <w:rFonts w:cs="Times New Roman"/>
                <w:b/>
                <w:bCs/>
                <w:sz w:val="22"/>
                <w:szCs w:val="22"/>
                <w:u w:val="single"/>
                <w:lang w:val="fr-CI"/>
              </w:rPr>
              <w:t>4</w:t>
            </w:r>
            <w:r w:rsidRPr="00A86A24">
              <w:rPr>
                <w:rFonts w:cs="Times New Roman"/>
                <w:b/>
                <w:bCs/>
                <w:sz w:val="22"/>
                <w:szCs w:val="22"/>
                <w:u w:val="single"/>
                <w:lang w:val="fr-CI"/>
              </w:rPr>
              <w:t xml:space="preserve"> : Blanchiment de capitaux </w:t>
            </w:r>
            <w:proofErr w:type="spellStart"/>
            <w:proofErr w:type="gramStart"/>
            <w:r>
              <w:rPr>
                <w:rFonts w:cs="Times New Roman"/>
                <w:b/>
                <w:bCs/>
                <w:sz w:val="22"/>
                <w:szCs w:val="22"/>
                <w:u w:val="single"/>
                <w:lang w:val="fr-CI"/>
              </w:rPr>
              <w:t>a</w:t>
            </w:r>
            <w:proofErr w:type="spellEnd"/>
            <w:proofErr w:type="gramEnd"/>
            <w:r>
              <w:rPr>
                <w:rFonts w:cs="Times New Roman"/>
                <w:b/>
                <w:bCs/>
                <w:sz w:val="22"/>
                <w:szCs w:val="22"/>
                <w:u w:val="single"/>
                <w:lang w:val="fr-CI"/>
              </w:rPr>
              <w:t xml:space="preserve"> travers l’utilisation des EME</w:t>
            </w:r>
          </w:p>
          <w:p w14:paraId="581FB675" w14:textId="77777777" w:rsidR="00832B83" w:rsidRPr="00A86A24" w:rsidRDefault="00832B83" w:rsidP="0045310F">
            <w:pPr>
              <w:tabs>
                <w:tab w:val="left" w:pos="567"/>
              </w:tabs>
              <w:spacing w:before="240" w:after="120" w:line="360" w:lineRule="auto"/>
              <w:contextualSpacing/>
              <w:jc w:val="both"/>
              <w:rPr>
                <w:rFonts w:cs="Times New Roman"/>
                <w:sz w:val="22"/>
                <w:szCs w:val="22"/>
                <w:lang w:val="fr-CI"/>
              </w:rPr>
            </w:pPr>
            <w:r w:rsidRPr="00A86A24">
              <w:rPr>
                <w:rFonts w:cs="Times New Roman"/>
                <w:sz w:val="22"/>
                <w:szCs w:val="22"/>
                <w:lang w:val="fr-CI"/>
              </w:rPr>
              <w:t>En 2024, la SATT a été contactée par une compagnie de téléphone suite à de nombreuses plaintes de ses abonnés, victimes de remplacement frauduleux de carte SIM (Sim-</w:t>
            </w:r>
            <w:proofErr w:type="spellStart"/>
            <w:r w:rsidRPr="00A86A24">
              <w:rPr>
                <w:rFonts w:cs="Times New Roman"/>
                <w:sz w:val="22"/>
                <w:szCs w:val="22"/>
                <w:lang w:val="fr-CI"/>
              </w:rPr>
              <w:t>swaping</w:t>
            </w:r>
            <w:proofErr w:type="spellEnd"/>
            <w:r w:rsidRPr="00A86A24">
              <w:rPr>
                <w:rFonts w:cs="Times New Roman"/>
                <w:sz w:val="22"/>
                <w:szCs w:val="22"/>
                <w:lang w:val="fr-CI"/>
              </w:rPr>
              <w:t>) suivi d'un vol de leur crédit d'appel. Les enquêtes judiciaires menées sur instruction du parquet de la République PPEF ont abouti à l'arrestation et à la poursuite de onze (11) cybercriminels, dont le principal instigateur (</w:t>
            </w:r>
            <w:proofErr w:type="gramStart"/>
            <w:r w:rsidRPr="00A86A24">
              <w:rPr>
                <w:rFonts w:cs="Times New Roman"/>
                <w:sz w:val="22"/>
                <w:szCs w:val="22"/>
                <w:lang w:val="fr-CI"/>
              </w:rPr>
              <w:t>le Hacker</w:t>
            </w:r>
            <w:proofErr w:type="gramEnd"/>
            <w:r w:rsidRPr="00A86A24">
              <w:rPr>
                <w:rFonts w:cs="Times New Roman"/>
                <w:sz w:val="22"/>
                <w:szCs w:val="22"/>
                <w:lang w:val="fr-CI"/>
              </w:rPr>
              <w:t>). Leur modus operandi consistait à s'approprier frauduleusement une carte SIM permettant d'accéder directement à l'un des serveurs de l'opérateur. Une fois connectés au réseau, ils ont frauduleusement rechargé le crédit d'appel sur des cartes Sim précédemment achetées sur le marché noir, puis les ont revendues à leur réseau de distribution frauduleux.</w:t>
            </w:r>
          </w:p>
          <w:p w14:paraId="53A791A7" w14:textId="77777777" w:rsidR="00832B83" w:rsidRPr="00A86A24" w:rsidRDefault="00832B83" w:rsidP="0045310F">
            <w:pPr>
              <w:tabs>
                <w:tab w:val="left" w:pos="567"/>
              </w:tabs>
              <w:spacing w:before="240" w:after="120" w:line="360" w:lineRule="auto"/>
              <w:contextualSpacing/>
              <w:jc w:val="both"/>
              <w:rPr>
                <w:rFonts w:cs="Times New Roman"/>
                <w:sz w:val="22"/>
                <w:szCs w:val="22"/>
                <w:lang w:val="fr-CI"/>
              </w:rPr>
            </w:pPr>
            <w:r w:rsidRPr="00A86A24">
              <w:rPr>
                <w:rFonts w:cs="Times New Roman"/>
                <w:sz w:val="22"/>
                <w:szCs w:val="22"/>
                <w:lang w:val="fr-CI"/>
              </w:rPr>
              <w:t>Le préjudice financier évalué au stade de l'enquête judiciaire s'élève à 127 000 000 FCFA (193 597 €). Interrogés sur l'utilisation de cette somme, les accusés ont déclaré qu'ils l'avaient utilisée à des fins personnelles. Cependant, l'enquête financière parallèle, ordonnée par le juge d'instruction, incluant des informations recueillies auprès des établissements financiers, a permis d'identifier l'ouverture de quatre comptes bancaires avec des soldes créditeurs (et susceptibles de faire partie des fonds blanchis) au nom de quatre suspects. L'enquête sur les biens immobiliers, visant à identifier l'ensemble des transactions immobilières et des biens appartenant à ces individus en vue de leur saisie, est actuellement en cours.</w:t>
            </w:r>
          </w:p>
        </w:tc>
      </w:tr>
    </w:tbl>
    <w:p w14:paraId="42AA3A6D" w14:textId="77777777" w:rsidR="00A87871" w:rsidRPr="00832B83" w:rsidRDefault="00A87871" w:rsidP="00DD206B">
      <w:pPr>
        <w:tabs>
          <w:tab w:val="left" w:pos="567"/>
        </w:tabs>
        <w:spacing w:before="240" w:after="120" w:line="360" w:lineRule="auto"/>
        <w:contextualSpacing/>
        <w:jc w:val="both"/>
        <w:rPr>
          <w:rFonts w:cs="Times New Roman"/>
          <w:sz w:val="24"/>
          <w:szCs w:val="24"/>
        </w:rPr>
      </w:pPr>
    </w:p>
    <w:p w14:paraId="7AAA37D8" w14:textId="3BC989CE" w:rsidR="00E57C1A" w:rsidRPr="002B4925" w:rsidRDefault="00824D75" w:rsidP="00DD206B">
      <w:pPr>
        <w:pStyle w:val="Titre3"/>
        <w:rPr>
          <w:sz w:val="22"/>
        </w:rPr>
      </w:pPr>
      <w:bookmarkStart w:id="22" w:name="_Toc213326906"/>
      <w:r w:rsidRPr="002B4925">
        <w:rPr>
          <w:sz w:val="22"/>
        </w:rPr>
        <w:t>Evaluation</w:t>
      </w:r>
      <w:r w:rsidR="00E57C1A" w:rsidRPr="002B4925">
        <w:rPr>
          <w:sz w:val="22"/>
        </w:rPr>
        <w:t xml:space="preserve"> de la menace liée au secteur des </w:t>
      </w:r>
      <w:r w:rsidR="008974B7" w:rsidRPr="002B4925">
        <w:rPr>
          <w:sz w:val="22"/>
        </w:rPr>
        <w:t>a</w:t>
      </w:r>
      <w:r w:rsidR="00E57C1A" w:rsidRPr="002B4925">
        <w:rPr>
          <w:sz w:val="22"/>
        </w:rPr>
        <w:t>gents et promoteurs immobiliers</w:t>
      </w:r>
      <w:bookmarkEnd w:id="22"/>
    </w:p>
    <w:p w14:paraId="5725C44E" w14:textId="77777777" w:rsidR="00050564" w:rsidRPr="00187C0D" w:rsidRDefault="00050564" w:rsidP="00DD206B">
      <w:pPr>
        <w:pStyle w:val="NormalWeb"/>
        <w:spacing w:line="360" w:lineRule="auto"/>
        <w:jc w:val="both"/>
        <w:rPr>
          <w:lang w:val="fr-CI"/>
        </w:rPr>
      </w:pPr>
      <w:r w:rsidRPr="00187C0D">
        <w:rPr>
          <w:lang w:val="fr-CI"/>
        </w:rPr>
        <w:t>L’analyse de la vulnérabilité du secteur immobilier au BC met en évidence une réalité préoccupante. L’immobilier constitue en effet un domaine à forte attractivité pour les criminels en quête de canaux sûrs d’investissement et de dissimulation de fonds illicites. Cette situation découle de la nature même du secteur : il sert d’interface avec une multitude d’autres activités économiques et permet l’intégration, parfois irréversible, de capitaux d’origine douteuse dans l’économie formelle. Le caractère tangible et durable des biens immobiliers, combiné aux transactions de grande valeur parfois effectuées en espèces, en fait un vecteur idéal de placement pour les fonds issus de la criminalité organisée.</w:t>
      </w:r>
    </w:p>
    <w:p w14:paraId="5EE8C212" w14:textId="77777777" w:rsidR="00050564" w:rsidRPr="00187C0D" w:rsidRDefault="00050564" w:rsidP="00DD206B">
      <w:pPr>
        <w:pStyle w:val="NormalWeb"/>
        <w:spacing w:line="360" w:lineRule="auto"/>
        <w:jc w:val="both"/>
        <w:rPr>
          <w:lang w:val="fr-CI"/>
        </w:rPr>
      </w:pPr>
      <w:r w:rsidRPr="00187C0D">
        <w:rPr>
          <w:lang w:val="fr-CI"/>
        </w:rPr>
        <w:t xml:space="preserve">Les tendances observées confirment que les produits d’infractions graves telles que le trafic de stupéfiants, la corruption, la cybercriminalité, la fraude fiscale ou encore les infractions environnementales, trouvent souvent refuge dans ce secteur. Les chiffres communiqués par le PPEF sont démonstratifs : 76 dossiers de blanchiment traités impliquaient des promoteurs immobiliers, et 59 biens bâtis ont été confisqués. Ces données soulignent une utilisation avérée du secteur pour recycler les fonds criminels. En parallèle, la taille du marché, avec plus de 100 </w:t>
      </w:r>
      <w:r w:rsidRPr="00187C0D">
        <w:rPr>
          <w:lang w:val="fr-CI"/>
        </w:rPr>
        <w:lastRenderedPageBreak/>
        <w:t>promoteurs et près d’une centaine d’agents immobiliers recensés, illustre le nombre important d’acteurs susceptibles d’être exposés ou instrumentalisés.</w:t>
      </w:r>
    </w:p>
    <w:p w14:paraId="59D99985" w14:textId="135BD6D1" w:rsidR="00050564" w:rsidRPr="00187C0D" w:rsidRDefault="00050564" w:rsidP="00DD206B">
      <w:pPr>
        <w:pStyle w:val="NormalWeb"/>
        <w:spacing w:line="360" w:lineRule="auto"/>
        <w:jc w:val="both"/>
        <w:rPr>
          <w:lang w:val="fr-CI"/>
        </w:rPr>
      </w:pPr>
      <w:r w:rsidRPr="00187C0D">
        <w:rPr>
          <w:lang w:val="fr-CI"/>
        </w:rPr>
        <w:t xml:space="preserve">Cependant, l’un des constats les plus alarmants demeure l’absence de DOS émanant directement de ces professionnels. Entre 2023 et 2024, la CENTIF n’a reçu aucune déclaration du secteur immobilier. La CENTIF a, dans le même temps, 19 DOS liées au secteur, mais initiées par d’autres assujettis. Aussi, </w:t>
      </w:r>
      <w:r w:rsidRPr="00050564">
        <w:rPr>
          <w:lang w:val="fr-FR"/>
        </w:rPr>
        <w:t>la Commission d’Agrément des Promoteurs et des Programmes Immobiliers (CAPPI)</w:t>
      </w:r>
      <w:r>
        <w:rPr>
          <w:lang w:val="fr-FR"/>
        </w:rPr>
        <w:t xml:space="preserve"> </w:t>
      </w:r>
      <w:r w:rsidRPr="00187C0D">
        <w:rPr>
          <w:lang w:val="fr-CI"/>
        </w:rPr>
        <w:t xml:space="preserve">a formulé 23 demandes d’information à la CENTIF en l’espace de 03 mois. </w:t>
      </w:r>
    </w:p>
    <w:p w14:paraId="01ED34FE" w14:textId="51E99870" w:rsidR="00587F8B" w:rsidRPr="00114283" w:rsidRDefault="00A35519" w:rsidP="00DD206B">
      <w:pPr>
        <w:tabs>
          <w:tab w:val="left" w:pos="567"/>
        </w:tabs>
        <w:spacing w:before="240" w:after="120" w:line="360" w:lineRule="auto"/>
        <w:contextualSpacing/>
        <w:jc w:val="both"/>
        <w:rPr>
          <w:rFonts w:cs="Times New Roman"/>
          <w:sz w:val="24"/>
          <w:szCs w:val="24"/>
        </w:rPr>
      </w:pPr>
      <w:r w:rsidRPr="00114283">
        <w:rPr>
          <w:rFonts w:cs="Times New Roman"/>
          <w:sz w:val="24"/>
          <w:szCs w:val="24"/>
        </w:rPr>
        <w:t>De ce qui précède l’on peut conclure que la menace relevée dans ce secteur demeure importante, comme déjà observé lors de l’ENR 2019.</w:t>
      </w:r>
    </w:p>
    <w:p w14:paraId="598D9F63" w14:textId="01486A72" w:rsidR="00A87871" w:rsidRPr="00D85F5F" w:rsidRDefault="00A87871" w:rsidP="00D85F5F">
      <w:pPr>
        <w:pStyle w:val="TableParagraph"/>
        <w:tabs>
          <w:tab w:val="left" w:pos="468"/>
        </w:tabs>
        <w:spacing w:before="120" w:line="360" w:lineRule="auto"/>
        <w:ind w:right="591"/>
        <w:jc w:val="both"/>
        <w:rPr>
          <w:szCs w:val="24"/>
          <w:lang w:val="fr-CI"/>
        </w:rPr>
      </w:pPr>
    </w:p>
    <w:tbl>
      <w:tblPr>
        <w:tblStyle w:val="Grilledutableau"/>
        <w:tblW w:w="0" w:type="auto"/>
        <w:shd w:val="clear" w:color="auto" w:fill="E8E8E8" w:themeFill="background2"/>
        <w:tblLook w:val="04A0" w:firstRow="1" w:lastRow="0" w:firstColumn="1" w:lastColumn="0" w:noHBand="0" w:noVBand="1"/>
      </w:tblPr>
      <w:tblGrid>
        <w:gridCol w:w="9016"/>
      </w:tblGrid>
      <w:tr w:rsidR="00A87871" w:rsidRPr="00A86A24" w14:paraId="44FDFEA2" w14:textId="77777777" w:rsidTr="00AC5A9F">
        <w:tc>
          <w:tcPr>
            <w:tcW w:w="9062" w:type="dxa"/>
            <w:shd w:val="clear" w:color="auto" w:fill="E8E8E8" w:themeFill="background2"/>
          </w:tcPr>
          <w:p w14:paraId="77FDFC38" w14:textId="0A5E8AD8" w:rsidR="00A87871" w:rsidRPr="00A86A24" w:rsidRDefault="00A87871" w:rsidP="00AC5A9F">
            <w:pPr>
              <w:tabs>
                <w:tab w:val="left" w:pos="810"/>
              </w:tabs>
              <w:spacing w:before="240" w:after="120" w:line="360" w:lineRule="auto"/>
              <w:jc w:val="both"/>
              <w:rPr>
                <w:rFonts w:cs="Times New Roman"/>
                <w:b/>
                <w:bCs/>
                <w:sz w:val="22"/>
                <w:szCs w:val="22"/>
                <w:u w:val="single"/>
              </w:rPr>
            </w:pPr>
            <w:r w:rsidRPr="00A86A24">
              <w:rPr>
                <w:rFonts w:cs="Times New Roman"/>
                <w:b/>
                <w:bCs/>
                <w:sz w:val="22"/>
                <w:szCs w:val="22"/>
                <w:u w:val="single"/>
              </w:rPr>
              <w:t xml:space="preserve">Cas </w:t>
            </w:r>
            <w:r w:rsidR="00E25042">
              <w:rPr>
                <w:rFonts w:cs="Times New Roman"/>
                <w:b/>
                <w:bCs/>
                <w:sz w:val="22"/>
                <w:szCs w:val="22"/>
                <w:u w:val="single"/>
              </w:rPr>
              <w:t>15</w:t>
            </w:r>
            <w:r w:rsidRPr="00A86A24">
              <w:rPr>
                <w:rFonts w:cs="Times New Roman"/>
                <w:b/>
                <w:bCs/>
                <w:sz w:val="22"/>
                <w:szCs w:val="22"/>
                <w:u w:val="single"/>
              </w:rPr>
              <w:t xml:space="preserve"> : Utilisation de l’immobilier pour le BC</w:t>
            </w:r>
          </w:p>
          <w:p w14:paraId="65C1EB99" w14:textId="77777777" w:rsidR="00A87871" w:rsidRPr="00A86A24" w:rsidRDefault="00A87871" w:rsidP="00AC5A9F">
            <w:pPr>
              <w:tabs>
                <w:tab w:val="left" w:pos="810"/>
              </w:tabs>
              <w:spacing w:before="240" w:after="120" w:line="360" w:lineRule="auto"/>
              <w:jc w:val="both"/>
              <w:rPr>
                <w:rFonts w:cs="Times New Roman"/>
                <w:sz w:val="22"/>
                <w:szCs w:val="22"/>
              </w:rPr>
            </w:pPr>
            <w:r w:rsidRPr="00A86A24">
              <w:rPr>
                <w:rFonts w:cs="Times New Roman"/>
                <w:sz w:val="22"/>
                <w:szCs w:val="22"/>
              </w:rPr>
              <w:t xml:space="preserve">AFF/C : Les nommés A, D, O, P, S, Mademoiselle Z, ainsi que le CONSEIL BIG, l’Agence </w:t>
            </w:r>
          </w:p>
          <w:p w14:paraId="5B784524" w14:textId="77777777" w:rsidR="00A87871" w:rsidRPr="00A86A24" w:rsidRDefault="00A87871" w:rsidP="00AC5A9F">
            <w:pPr>
              <w:tabs>
                <w:tab w:val="left" w:pos="810"/>
              </w:tabs>
              <w:spacing w:before="240" w:after="120" w:line="360" w:lineRule="auto"/>
              <w:jc w:val="both"/>
              <w:rPr>
                <w:rFonts w:cs="Times New Roman"/>
                <w:sz w:val="22"/>
                <w:szCs w:val="22"/>
              </w:rPr>
            </w:pPr>
            <w:r w:rsidRPr="00A86A24">
              <w:rPr>
                <w:rFonts w:cs="Times New Roman"/>
                <w:sz w:val="22"/>
                <w:szCs w:val="22"/>
              </w:rPr>
              <w:t xml:space="preserve">F, la SCPA JUPITER &amp; Associés et la SCI W,  </w:t>
            </w:r>
          </w:p>
          <w:p w14:paraId="300159E2" w14:textId="77777777" w:rsidR="00A87871" w:rsidRPr="00A86A24" w:rsidRDefault="00A87871" w:rsidP="00AC5A9F">
            <w:pPr>
              <w:tabs>
                <w:tab w:val="left" w:pos="810"/>
              </w:tabs>
              <w:spacing w:before="240" w:after="120" w:line="360" w:lineRule="auto"/>
              <w:jc w:val="both"/>
              <w:rPr>
                <w:rFonts w:cs="Times New Roman"/>
                <w:sz w:val="22"/>
                <w:szCs w:val="22"/>
              </w:rPr>
            </w:pPr>
            <w:r w:rsidRPr="00A86A24">
              <w:rPr>
                <w:rFonts w:cs="Times New Roman"/>
                <w:sz w:val="22"/>
                <w:szCs w:val="22"/>
              </w:rPr>
              <w:t xml:space="preserve">Montant en jeu : 3 500 899 000 FCFA </w:t>
            </w:r>
          </w:p>
          <w:p w14:paraId="3EE20AD8" w14:textId="77777777" w:rsidR="00A87871" w:rsidRPr="00A86A24" w:rsidRDefault="00A87871" w:rsidP="00AC5A9F">
            <w:pPr>
              <w:tabs>
                <w:tab w:val="left" w:pos="810"/>
              </w:tabs>
              <w:spacing w:before="240" w:after="120" w:line="360" w:lineRule="auto"/>
              <w:jc w:val="both"/>
              <w:rPr>
                <w:rFonts w:cs="Times New Roman"/>
                <w:sz w:val="22"/>
                <w:szCs w:val="22"/>
              </w:rPr>
            </w:pPr>
            <w:r w:rsidRPr="00A86A24">
              <w:rPr>
                <w:rFonts w:cs="Times New Roman"/>
                <w:sz w:val="22"/>
                <w:szCs w:val="22"/>
              </w:rPr>
              <w:t xml:space="preserve">Le 23 novembre 2022, </w:t>
            </w:r>
            <w:proofErr w:type="gramStart"/>
            <w:r w:rsidRPr="00A86A24">
              <w:rPr>
                <w:rFonts w:cs="Times New Roman"/>
                <w:sz w:val="22"/>
                <w:szCs w:val="22"/>
              </w:rPr>
              <w:t>Me A</w:t>
            </w:r>
            <w:proofErr w:type="gramEnd"/>
            <w:r w:rsidRPr="00A86A24">
              <w:rPr>
                <w:rFonts w:cs="Times New Roman"/>
                <w:sz w:val="22"/>
                <w:szCs w:val="22"/>
              </w:rPr>
              <w:t xml:space="preserve"> ouvrait dans les livres d’un établissement financier de la place, un compte courant particulier n° XXXXXXXXXX. A l’ouverture du compte, les fonds devant être déclarés concernaient son revenu net mensuel estimé à 2 000 000 FCFA. Quant à la SCI W, elle est cogérée par MM. O et P qui donnaient procuration à </w:t>
            </w:r>
            <w:proofErr w:type="gramStart"/>
            <w:r w:rsidRPr="00A86A24">
              <w:rPr>
                <w:rFonts w:cs="Times New Roman"/>
                <w:sz w:val="22"/>
                <w:szCs w:val="22"/>
              </w:rPr>
              <w:t>Me A</w:t>
            </w:r>
            <w:proofErr w:type="gramEnd"/>
            <w:r w:rsidRPr="00A86A24">
              <w:rPr>
                <w:rFonts w:cs="Times New Roman"/>
                <w:sz w:val="22"/>
                <w:szCs w:val="22"/>
              </w:rPr>
              <w:t xml:space="preserve"> pour vendre ses terrains. Ladite SCI est titulaire du compte courant </w:t>
            </w:r>
            <w:proofErr w:type="spellStart"/>
            <w:r w:rsidRPr="00A86A24">
              <w:rPr>
                <w:rFonts w:cs="Times New Roman"/>
                <w:sz w:val="22"/>
                <w:szCs w:val="22"/>
              </w:rPr>
              <w:t>n°YYYYYYYYYYYY</w:t>
            </w:r>
            <w:proofErr w:type="spellEnd"/>
            <w:r w:rsidRPr="00A86A24">
              <w:rPr>
                <w:rFonts w:cs="Times New Roman"/>
                <w:sz w:val="22"/>
                <w:szCs w:val="22"/>
              </w:rPr>
              <w:t xml:space="preserve"> dans les livres du même établissement financier depuis le 12 janvier 2023. Toutefois, les mouvements financiers inhabituels observés sur le compte de </w:t>
            </w:r>
            <w:proofErr w:type="gramStart"/>
            <w:r w:rsidRPr="00A86A24">
              <w:rPr>
                <w:rFonts w:cs="Times New Roman"/>
                <w:sz w:val="22"/>
                <w:szCs w:val="22"/>
              </w:rPr>
              <w:t>Me A</w:t>
            </w:r>
            <w:proofErr w:type="gramEnd"/>
            <w:r w:rsidRPr="00A86A24">
              <w:rPr>
                <w:rFonts w:cs="Times New Roman"/>
                <w:sz w:val="22"/>
                <w:szCs w:val="22"/>
              </w:rPr>
              <w:t xml:space="preserve"> indiquaient qu’il recevait au crédit, de multiples et importantes remises de chèques sans justificatifs. En effet, le 17 janvier 2023, son compte a été crédité d’un transfert d’un montant de 1 530 000 000 FCFA dont le donneur d’ordre est la SCI W. Ensuite, le 23 mai 2023, le compte a encore reçu une série de cinq chèques dont le montant cumulé s’élevait à 1 625 076 280 FCFA. </w:t>
            </w:r>
            <w:proofErr w:type="gramStart"/>
            <w:r w:rsidRPr="00A86A24">
              <w:rPr>
                <w:rFonts w:cs="Times New Roman"/>
                <w:sz w:val="22"/>
                <w:szCs w:val="22"/>
              </w:rPr>
              <w:t>Me A</w:t>
            </w:r>
            <w:proofErr w:type="gramEnd"/>
            <w:r w:rsidRPr="00A86A24">
              <w:rPr>
                <w:rFonts w:cs="Times New Roman"/>
                <w:sz w:val="22"/>
                <w:szCs w:val="22"/>
              </w:rPr>
              <w:t xml:space="preserve"> expliquait l’origine des fonds par le règlement des commissions destinées aux intermédiaires et autres facilitateurs de l’opération de vente d’une parcelle de terrain urbain non bâtie sise dans la banlieue abidjanaise, d’une superficie de 152 213 m², dont l’acquéreur est un organisme public chargé du secteur agro pastoral dénommé CONSEIL BIG représenté par M. S, qui en est le Directeur Général. </w:t>
            </w:r>
            <w:r w:rsidRPr="00A86A24">
              <w:rPr>
                <w:rFonts w:cs="Times New Roman"/>
                <w:sz w:val="22"/>
                <w:szCs w:val="22"/>
              </w:rPr>
              <w:lastRenderedPageBreak/>
              <w:t xml:space="preserve">Au total, pour cette transaction, </w:t>
            </w:r>
            <w:proofErr w:type="gramStart"/>
            <w:r w:rsidRPr="00A86A24">
              <w:rPr>
                <w:rFonts w:cs="Times New Roman"/>
                <w:sz w:val="22"/>
                <w:szCs w:val="22"/>
              </w:rPr>
              <w:t>Me A</w:t>
            </w:r>
            <w:proofErr w:type="gramEnd"/>
            <w:r w:rsidRPr="00A86A24">
              <w:rPr>
                <w:rFonts w:cs="Times New Roman"/>
                <w:sz w:val="22"/>
                <w:szCs w:val="22"/>
              </w:rPr>
              <w:t xml:space="preserve"> </w:t>
            </w:r>
            <w:proofErr w:type="spellStart"/>
            <w:r w:rsidRPr="00A86A24">
              <w:rPr>
                <w:rFonts w:cs="Times New Roman"/>
                <w:sz w:val="22"/>
                <w:szCs w:val="22"/>
              </w:rPr>
              <w:t>a</w:t>
            </w:r>
            <w:proofErr w:type="spellEnd"/>
            <w:r w:rsidRPr="00A86A24">
              <w:rPr>
                <w:rFonts w:cs="Times New Roman"/>
                <w:sz w:val="22"/>
                <w:szCs w:val="22"/>
              </w:rPr>
              <w:t xml:space="preserve"> reçu la somme de 3 500 899 000 FCFA. Cependant, l’analyse a relevé des incohérences.  </w:t>
            </w:r>
          </w:p>
          <w:p w14:paraId="00C6CED9" w14:textId="77777777" w:rsidR="00A87871" w:rsidRPr="00A86A24" w:rsidRDefault="00A87871" w:rsidP="00AC5A9F">
            <w:pPr>
              <w:tabs>
                <w:tab w:val="left" w:pos="810"/>
              </w:tabs>
              <w:spacing w:before="240" w:after="120" w:line="360" w:lineRule="auto"/>
              <w:jc w:val="both"/>
              <w:rPr>
                <w:rFonts w:cs="Times New Roman"/>
                <w:sz w:val="22"/>
                <w:szCs w:val="22"/>
              </w:rPr>
            </w:pPr>
            <w:r w:rsidRPr="00A86A24">
              <w:rPr>
                <w:rFonts w:cs="Times New Roman"/>
                <w:sz w:val="22"/>
                <w:szCs w:val="22"/>
              </w:rPr>
              <w:t xml:space="preserve">En effet, au niveau des montants reçus dans le cadre de cette opération, la SCI a perçu de CONSEIL BIG un montant total de 3 021 171 530 FCFA dont le premier chèque d’un montant de 1 532 135 495 FCFA a été reçu le 16 janvier 2023. Or, le 17 janvier 2023, </w:t>
            </w:r>
            <w:proofErr w:type="gramStart"/>
            <w:r w:rsidRPr="00A86A24">
              <w:rPr>
                <w:rFonts w:cs="Times New Roman"/>
                <w:sz w:val="22"/>
                <w:szCs w:val="22"/>
              </w:rPr>
              <w:t>Me A</w:t>
            </w:r>
            <w:proofErr w:type="gramEnd"/>
            <w:r w:rsidRPr="00A86A24">
              <w:rPr>
                <w:rFonts w:cs="Times New Roman"/>
                <w:sz w:val="22"/>
                <w:szCs w:val="22"/>
              </w:rPr>
              <w:t xml:space="preserve"> </w:t>
            </w:r>
            <w:proofErr w:type="spellStart"/>
            <w:r w:rsidRPr="00A86A24">
              <w:rPr>
                <w:rFonts w:cs="Times New Roman"/>
                <w:sz w:val="22"/>
                <w:szCs w:val="22"/>
              </w:rPr>
              <w:t>a</w:t>
            </w:r>
            <w:proofErr w:type="spellEnd"/>
            <w:r w:rsidRPr="00A86A24">
              <w:rPr>
                <w:rFonts w:cs="Times New Roman"/>
                <w:sz w:val="22"/>
                <w:szCs w:val="22"/>
              </w:rPr>
              <w:t xml:space="preserve"> reçu de la SCI, 1 530 000 000 FCFA soit la quasi-totalité du montant reçu de CONSEIL BIG. Pour la même opération, le montant des commissions reçues (3 500 899 000 FCFA) excède le montant de la transaction relative à l’opération de vente (3 021 171 530 FCFA), soit un écart de 479 727 470 FCFA.  </w:t>
            </w:r>
          </w:p>
          <w:p w14:paraId="65FA0E28" w14:textId="77777777" w:rsidR="00A87871" w:rsidRPr="00A86A24" w:rsidRDefault="00A87871" w:rsidP="00AC5A9F">
            <w:pPr>
              <w:tabs>
                <w:tab w:val="left" w:pos="810"/>
              </w:tabs>
              <w:spacing w:before="240" w:after="120" w:line="360" w:lineRule="auto"/>
              <w:jc w:val="both"/>
              <w:rPr>
                <w:rFonts w:cs="Times New Roman"/>
                <w:sz w:val="22"/>
                <w:szCs w:val="22"/>
              </w:rPr>
            </w:pPr>
            <w:r w:rsidRPr="00A86A24">
              <w:rPr>
                <w:rFonts w:cs="Times New Roman"/>
                <w:sz w:val="22"/>
                <w:szCs w:val="22"/>
              </w:rPr>
              <w:t>L’analyse a permis d’identifier un seul bénéficiaire des commissions en la personne de Monsieur D qui aurait reçu un virement le 25/05/2023 de 689 384 500 FCFA. Le nommé D qui a facilité la connexion entre la SCI W et le CONSEIL BIG, a été identifié comme ayant des antécédents judiciaires. En effet, les informations recueillies sur les sources ouvertes datant du 14 décembre 2004, indiquaient qu’un réseau de faussaires, dont les frères de Monsieur D et Monsieur D lui-même seraient le cerveau, venait d’être démantelé. Les mêmes sources indiquaient que ces derniers ont soutiré 250 millions de francs CFA à l’Etablissement financier susvisé. Par ailleurs, Monsieur D serait présenté comme un faussaire notoirement connu dans les fichiers de la police économique.</w:t>
            </w:r>
          </w:p>
        </w:tc>
      </w:tr>
    </w:tbl>
    <w:p w14:paraId="29C1D07B" w14:textId="77777777" w:rsidR="00A87871" w:rsidRPr="008D74C9" w:rsidRDefault="00A87871" w:rsidP="00DD206B">
      <w:pPr>
        <w:pStyle w:val="TableParagraph"/>
        <w:tabs>
          <w:tab w:val="left" w:pos="468"/>
        </w:tabs>
        <w:spacing w:before="120" w:line="360" w:lineRule="auto"/>
        <w:ind w:right="591"/>
        <w:jc w:val="both"/>
        <w:rPr>
          <w:szCs w:val="24"/>
          <w:lang w:val="fr-CI"/>
        </w:rPr>
      </w:pPr>
    </w:p>
    <w:p w14:paraId="6A46906D" w14:textId="7B8B8ABF" w:rsidR="00E57C1A" w:rsidRPr="00FF1357" w:rsidRDefault="00824D75" w:rsidP="00DD206B">
      <w:pPr>
        <w:pStyle w:val="Titre3"/>
        <w:rPr>
          <w:sz w:val="22"/>
        </w:rPr>
      </w:pPr>
      <w:bookmarkStart w:id="23" w:name="_Toc213326907"/>
      <w:r w:rsidRPr="00FF1357">
        <w:rPr>
          <w:sz w:val="22"/>
        </w:rPr>
        <w:t>Evaluation</w:t>
      </w:r>
      <w:r w:rsidR="00E57C1A" w:rsidRPr="00FF1357">
        <w:rPr>
          <w:sz w:val="22"/>
        </w:rPr>
        <w:t xml:space="preserve"> de la menace liée au secteur des Experts comptables</w:t>
      </w:r>
      <w:bookmarkEnd w:id="23"/>
    </w:p>
    <w:p w14:paraId="50B00988" w14:textId="0C515386" w:rsidR="007E13A3" w:rsidRPr="00114283" w:rsidRDefault="007E13A3" w:rsidP="00DD206B">
      <w:pPr>
        <w:tabs>
          <w:tab w:val="left" w:pos="567"/>
        </w:tabs>
        <w:spacing w:before="240" w:after="120" w:line="360" w:lineRule="auto"/>
        <w:contextualSpacing/>
        <w:jc w:val="both"/>
        <w:rPr>
          <w:rFonts w:cs="Times New Roman"/>
          <w:sz w:val="24"/>
          <w:szCs w:val="24"/>
        </w:rPr>
      </w:pPr>
      <w:r w:rsidRPr="00114283">
        <w:rPr>
          <w:rFonts w:cs="Times New Roman"/>
          <w:sz w:val="24"/>
          <w:szCs w:val="24"/>
        </w:rPr>
        <w:t>En Côte d’Ivoire, 225 experts-comptables sont actuellement assujettis aux obligations de Lutte contre le Blanchiment de Capitaux et le Financement du Terrorisme (LBC/FT). Sur la période 2023-2024, aucune DOS n’avait été transmise par ce secteur. Cependant, entre avril et jui</w:t>
      </w:r>
      <w:r w:rsidR="00F9434F">
        <w:rPr>
          <w:rFonts w:cs="Times New Roman"/>
          <w:sz w:val="24"/>
          <w:szCs w:val="24"/>
        </w:rPr>
        <w:t>llet</w:t>
      </w:r>
      <w:r w:rsidRPr="00114283">
        <w:rPr>
          <w:rFonts w:cs="Times New Roman"/>
          <w:sz w:val="24"/>
          <w:szCs w:val="24"/>
        </w:rPr>
        <w:t xml:space="preserve"> 2025, ils ont adressé </w:t>
      </w:r>
      <w:r w:rsidR="00333A7A">
        <w:rPr>
          <w:rFonts w:cs="Times New Roman"/>
          <w:sz w:val="24"/>
          <w:szCs w:val="24"/>
        </w:rPr>
        <w:t>10</w:t>
      </w:r>
      <w:r w:rsidRPr="00114283">
        <w:rPr>
          <w:rFonts w:cs="Times New Roman"/>
          <w:sz w:val="24"/>
          <w:szCs w:val="24"/>
        </w:rPr>
        <w:t xml:space="preserve"> DOS à la CENTIF, ce qui traduit une implication déclarative relativement récente mais en progression. En 2024, le PPEF a traité 1 dossier de blanchiment de capitaux impliquant des experts-comptables.</w:t>
      </w:r>
    </w:p>
    <w:p w14:paraId="6EC66B89" w14:textId="4818FAAF" w:rsidR="007E13A3" w:rsidRPr="00114283" w:rsidRDefault="007E13A3" w:rsidP="00DD206B">
      <w:pPr>
        <w:tabs>
          <w:tab w:val="left" w:pos="567"/>
        </w:tabs>
        <w:spacing w:before="240" w:after="120" w:line="360" w:lineRule="auto"/>
        <w:contextualSpacing/>
        <w:jc w:val="both"/>
        <w:rPr>
          <w:rFonts w:cs="Times New Roman"/>
          <w:sz w:val="24"/>
          <w:szCs w:val="24"/>
        </w:rPr>
      </w:pPr>
      <w:r w:rsidRPr="00114283">
        <w:rPr>
          <w:rFonts w:cs="Times New Roman"/>
          <w:sz w:val="24"/>
          <w:szCs w:val="24"/>
        </w:rPr>
        <w:t>Le profil de risque de cette profession tient en grande partie à la nature de sa clientèle. Une part significative est composée de Personnes Politiquement Exposées (PPE) et de personnes fortunées qui peuvent recourir à des prête-noms, compliquant ainsi l’identification des bénéficiaires effectifs. Les experts-comptables entretiennent également des relations régulières avec des Petites et Moyennes Entreprises (PME), un segment caractérisé par une utilisation importante des espèces, augmentant les risques d’opérations non traçables.</w:t>
      </w:r>
    </w:p>
    <w:p w14:paraId="1C37463C" w14:textId="34D9E614" w:rsidR="00A87871" w:rsidRPr="00114283" w:rsidRDefault="007E13A3" w:rsidP="00AF50E3">
      <w:pPr>
        <w:tabs>
          <w:tab w:val="left" w:pos="567"/>
        </w:tabs>
        <w:spacing w:before="240" w:after="120" w:line="360" w:lineRule="auto"/>
        <w:contextualSpacing/>
        <w:jc w:val="both"/>
        <w:rPr>
          <w:rFonts w:cs="Times New Roman"/>
          <w:sz w:val="24"/>
          <w:szCs w:val="24"/>
        </w:rPr>
      </w:pPr>
      <w:r w:rsidRPr="00114283">
        <w:rPr>
          <w:rFonts w:cs="Times New Roman"/>
          <w:sz w:val="24"/>
          <w:szCs w:val="24"/>
        </w:rPr>
        <w:t xml:space="preserve">En dépit du nombre relativement faible de cas formellement traités, la proximité des experts comptables avec des clientèles à risque élevé, les exposent à un niveau de menace </w:t>
      </w:r>
      <w:r w:rsidR="00DD3D5A">
        <w:rPr>
          <w:rFonts w:cs="Times New Roman"/>
          <w:sz w:val="24"/>
          <w:szCs w:val="24"/>
        </w:rPr>
        <w:t>important</w:t>
      </w:r>
      <w:r w:rsidRPr="00114283">
        <w:rPr>
          <w:rFonts w:cs="Times New Roman"/>
          <w:sz w:val="24"/>
          <w:szCs w:val="24"/>
        </w:rPr>
        <w:t>.</w:t>
      </w:r>
    </w:p>
    <w:p w14:paraId="42160F5F" w14:textId="61BCCDCE" w:rsidR="00E57C1A" w:rsidRPr="00114283" w:rsidRDefault="00824D75" w:rsidP="00DD206B">
      <w:pPr>
        <w:pStyle w:val="Titre3"/>
        <w:rPr>
          <w:szCs w:val="24"/>
        </w:rPr>
      </w:pPr>
      <w:bookmarkStart w:id="24" w:name="_Toc213326908"/>
      <w:r w:rsidRPr="00114283">
        <w:rPr>
          <w:szCs w:val="24"/>
        </w:rPr>
        <w:lastRenderedPageBreak/>
        <w:t>Evaluation</w:t>
      </w:r>
      <w:r w:rsidR="00E57C1A" w:rsidRPr="00114283">
        <w:rPr>
          <w:szCs w:val="24"/>
        </w:rPr>
        <w:t xml:space="preserve"> de la menace liée au secteur des Notaires</w:t>
      </w:r>
      <w:bookmarkEnd w:id="24"/>
    </w:p>
    <w:p w14:paraId="30F5FBA4" w14:textId="776D9BF5" w:rsidR="007E13A3" w:rsidRPr="00114283" w:rsidRDefault="007E13A3" w:rsidP="00DD206B">
      <w:pPr>
        <w:tabs>
          <w:tab w:val="left" w:pos="567"/>
        </w:tabs>
        <w:spacing w:before="240" w:after="120" w:line="360" w:lineRule="auto"/>
        <w:contextualSpacing/>
        <w:jc w:val="both"/>
        <w:rPr>
          <w:rFonts w:cs="Times New Roman"/>
          <w:sz w:val="24"/>
          <w:szCs w:val="24"/>
        </w:rPr>
      </w:pPr>
      <w:r w:rsidRPr="00114283">
        <w:rPr>
          <w:rFonts w:cs="Times New Roman"/>
          <w:sz w:val="24"/>
          <w:szCs w:val="24"/>
        </w:rPr>
        <w:t>La Côte d’Ivoire compte actuellement 234 notaires assujettis aux obligations LBC/FT. De septembre 2024 à jui</w:t>
      </w:r>
      <w:r w:rsidR="008604E7">
        <w:rPr>
          <w:rFonts w:cs="Times New Roman"/>
          <w:sz w:val="24"/>
          <w:szCs w:val="24"/>
        </w:rPr>
        <w:t>llet</w:t>
      </w:r>
      <w:r w:rsidRPr="00114283">
        <w:rPr>
          <w:rFonts w:cs="Times New Roman"/>
          <w:sz w:val="24"/>
          <w:szCs w:val="24"/>
        </w:rPr>
        <w:t xml:space="preserve"> 2025, les notaires ont adressé 1</w:t>
      </w:r>
      <w:r w:rsidR="008604E7">
        <w:rPr>
          <w:rFonts w:cs="Times New Roman"/>
          <w:sz w:val="24"/>
          <w:szCs w:val="24"/>
        </w:rPr>
        <w:t>19</w:t>
      </w:r>
      <w:r w:rsidRPr="00114283">
        <w:rPr>
          <w:rFonts w:cs="Times New Roman"/>
          <w:sz w:val="24"/>
          <w:szCs w:val="24"/>
        </w:rPr>
        <w:t xml:space="preserve"> DOS à la CENTIF contre seulement 13 avant septembre 2024, démontrant une activité déclarative désormais en hausse. Parallèlement, les autorités d’enquêtes ont adressé 9 054 réquisitions aux administrations publiques et à certains assujettis, dont les notaires, dans le cadre d’investigations liées à des affaires de blanchiment.</w:t>
      </w:r>
    </w:p>
    <w:p w14:paraId="55AAEE2C" w14:textId="66D2F594" w:rsidR="007E13A3" w:rsidRPr="00114283" w:rsidRDefault="007E13A3" w:rsidP="00DD206B">
      <w:pPr>
        <w:tabs>
          <w:tab w:val="left" w:pos="567"/>
        </w:tabs>
        <w:spacing w:before="240" w:after="120" w:line="360" w:lineRule="auto"/>
        <w:contextualSpacing/>
        <w:jc w:val="both"/>
        <w:rPr>
          <w:rFonts w:cs="Times New Roman"/>
          <w:sz w:val="24"/>
          <w:szCs w:val="24"/>
        </w:rPr>
      </w:pPr>
      <w:r w:rsidRPr="00114283">
        <w:rPr>
          <w:rFonts w:cs="Times New Roman"/>
          <w:sz w:val="24"/>
          <w:szCs w:val="24"/>
        </w:rPr>
        <w:t>Le rôle des notaires dans l’économie les place à l’intersection de plusieurs activités à risque notamment celles du secteur de l’immobilier. En effet, ce secteur a été identifié comme l’un des principaux canaux de blanchiment de capitaux en Côte d’Ivoire car constituant une voie privilégiée pour l’investissement et l’intégration de fonds d’origine illicite. Les notaires sont généralement chargés d’authentifier les cessions de biens détenus en pleine propriété et interviennent ainsi dans des transactions portant sur des montants importants.</w:t>
      </w:r>
    </w:p>
    <w:p w14:paraId="5CCD65BA" w14:textId="607AEC95" w:rsidR="007E13A3" w:rsidRPr="00114283" w:rsidRDefault="007E13A3" w:rsidP="00DD206B">
      <w:pPr>
        <w:tabs>
          <w:tab w:val="left" w:pos="567"/>
        </w:tabs>
        <w:spacing w:before="240" w:after="120" w:line="360" w:lineRule="auto"/>
        <w:contextualSpacing/>
        <w:jc w:val="both"/>
        <w:rPr>
          <w:rFonts w:cs="Times New Roman"/>
          <w:sz w:val="24"/>
          <w:szCs w:val="24"/>
        </w:rPr>
      </w:pPr>
      <w:r w:rsidRPr="00114283">
        <w:rPr>
          <w:rFonts w:cs="Times New Roman"/>
          <w:sz w:val="24"/>
          <w:szCs w:val="24"/>
        </w:rPr>
        <w:t>Les relations avec certaines personnes morales dont les bénéficiaires effectifs mobilisent des fonds étrangers, introduisent également un risque accru de blanchiment. Ces interactions peuvent faciliter l’intégration dans le circuit légal de capitaux provenant de juridictions à haut risque ou faiblement réglementées.</w:t>
      </w:r>
    </w:p>
    <w:p w14:paraId="1CC3ED63" w14:textId="4EC46C48" w:rsidR="0079053F" w:rsidRDefault="007E13A3" w:rsidP="00DD206B">
      <w:pPr>
        <w:tabs>
          <w:tab w:val="left" w:pos="567"/>
        </w:tabs>
        <w:spacing w:before="240" w:after="120" w:line="360" w:lineRule="auto"/>
        <w:contextualSpacing/>
        <w:jc w:val="both"/>
        <w:rPr>
          <w:rFonts w:cs="Times New Roman"/>
          <w:sz w:val="24"/>
          <w:szCs w:val="24"/>
        </w:rPr>
      </w:pPr>
      <w:r w:rsidRPr="00114283">
        <w:rPr>
          <w:rFonts w:cs="Times New Roman"/>
          <w:sz w:val="24"/>
          <w:szCs w:val="24"/>
        </w:rPr>
        <w:t>La nature et la fréquence des opérations auxquelles ils participent, le volume important de fonds en jeu, et leur connexion avec d’autres secteurs à haut risque, expose les notaires à un niveau de menace important.</w:t>
      </w:r>
    </w:p>
    <w:p w14:paraId="122088BC" w14:textId="77777777" w:rsidR="00AF50E3" w:rsidRDefault="00AF50E3" w:rsidP="00DD206B">
      <w:pPr>
        <w:tabs>
          <w:tab w:val="left" w:pos="567"/>
        </w:tabs>
        <w:spacing w:before="240" w:after="120" w:line="360" w:lineRule="auto"/>
        <w:contextualSpacing/>
        <w:jc w:val="both"/>
        <w:rPr>
          <w:rFonts w:cs="Times New Roman"/>
          <w:sz w:val="24"/>
          <w:szCs w:val="24"/>
        </w:rPr>
      </w:pPr>
    </w:p>
    <w:p w14:paraId="14DCD94B" w14:textId="77777777" w:rsidR="00AF50E3" w:rsidRPr="00AF50E3" w:rsidRDefault="00AF50E3" w:rsidP="00AF50E3">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567"/>
        </w:tabs>
        <w:spacing w:before="240" w:after="120" w:line="360" w:lineRule="auto"/>
        <w:contextualSpacing/>
        <w:jc w:val="both"/>
        <w:rPr>
          <w:rFonts w:cs="Times New Roman"/>
          <w:b/>
          <w:bCs/>
          <w:sz w:val="24"/>
          <w:szCs w:val="24"/>
          <w:u w:val="single"/>
        </w:rPr>
      </w:pPr>
      <w:r w:rsidRPr="00AF50E3">
        <w:rPr>
          <w:rFonts w:cs="Times New Roman"/>
          <w:b/>
          <w:bCs/>
          <w:sz w:val="24"/>
          <w:szCs w:val="24"/>
          <w:u w:val="single"/>
        </w:rPr>
        <w:t>Cas 16 : Utilisation d’une société civile immobilière (SCI) pour le blanchiment de fonds issus de détournement et d’abus de biens sociaux</w:t>
      </w:r>
    </w:p>
    <w:p w14:paraId="7788C352" w14:textId="77777777" w:rsidR="00AF50E3" w:rsidRPr="00AF50E3" w:rsidRDefault="00AF50E3" w:rsidP="00AF50E3">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567"/>
        </w:tabs>
        <w:spacing w:before="240" w:after="120" w:line="360" w:lineRule="auto"/>
        <w:contextualSpacing/>
        <w:jc w:val="both"/>
        <w:rPr>
          <w:rFonts w:cs="Times New Roman"/>
          <w:sz w:val="24"/>
          <w:szCs w:val="24"/>
        </w:rPr>
      </w:pPr>
      <w:r w:rsidRPr="00AF50E3">
        <w:rPr>
          <w:rFonts w:cs="Times New Roman"/>
          <w:sz w:val="24"/>
          <w:szCs w:val="24"/>
        </w:rPr>
        <w:t>La Cellule Nationale de Traitement des Informations Financières (CENTIF) a porté son attention sur des flux financiers provenant d’un compte ouvert par un avocat au cours des six derniers mois. Il est probable que cet avocat, ainsi que trois personnes physiques et une personne morale, soient impliqués dans des activités de blanchiment de capitaux portant sur un montant total de 4 543 791 390 FCFA. Cette somme est présumée résulter de la fraude fiscale et d’abus de biens sociaux.</w:t>
      </w:r>
    </w:p>
    <w:p w14:paraId="54BA2004" w14:textId="77777777" w:rsidR="00AF50E3" w:rsidRPr="00AF50E3" w:rsidRDefault="00AF50E3" w:rsidP="00AF50E3">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567"/>
        </w:tabs>
        <w:spacing w:before="240" w:after="120" w:line="360" w:lineRule="auto"/>
        <w:contextualSpacing/>
        <w:jc w:val="both"/>
        <w:rPr>
          <w:rFonts w:cs="Times New Roman"/>
          <w:sz w:val="24"/>
          <w:szCs w:val="24"/>
        </w:rPr>
      </w:pPr>
      <w:r w:rsidRPr="00AF50E3">
        <w:rPr>
          <w:rFonts w:cs="Times New Roman"/>
          <w:sz w:val="24"/>
          <w:szCs w:val="24"/>
        </w:rPr>
        <w:t xml:space="preserve">Le modus operandi consistait pour l’avocat, mandaté pour représenter les intérêts d’une société civile immobilière (SCI), à effectuer deux cessions successives de biens immobiliers. La première transaction a eu lieu en 2019 avec la structure de gestion foncière, tandis que la </w:t>
      </w:r>
      <w:r w:rsidRPr="00AF50E3">
        <w:rPr>
          <w:rFonts w:cs="Times New Roman"/>
          <w:sz w:val="24"/>
          <w:szCs w:val="24"/>
        </w:rPr>
        <w:lastRenderedPageBreak/>
        <w:t>seconde s’est déroulée en 2022 avec une entité étatique de gestion de fonds. L’avocat utilisait son propre compte personnel pour recevoir directement le prix d’acquisition des biens et récupèrerait la quasi-totalité des fonds qui avaient été préalablement déposés sur le compte de la SCI.</w:t>
      </w:r>
    </w:p>
    <w:p w14:paraId="59BD18D3" w14:textId="036B23C8" w:rsidR="00A87871" w:rsidRDefault="00AF50E3" w:rsidP="00AF50E3">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567"/>
        </w:tabs>
        <w:spacing w:before="240" w:after="120" w:line="360" w:lineRule="auto"/>
        <w:contextualSpacing/>
        <w:jc w:val="both"/>
        <w:rPr>
          <w:rFonts w:cs="Times New Roman"/>
          <w:sz w:val="24"/>
          <w:szCs w:val="24"/>
        </w:rPr>
      </w:pPr>
      <w:r w:rsidRPr="00AF50E3">
        <w:rPr>
          <w:rFonts w:cs="Times New Roman"/>
          <w:sz w:val="24"/>
          <w:szCs w:val="24"/>
        </w:rPr>
        <w:t>De plus, dès que ces fonds étaient disponibles sur son compte personnel, l’avocat les retirait en espèces ou les transférait au profit de tiers. Ces tiers étaient rémunérés sous forme de commissions, d’intermédiaires et d’apporteurs d’affaires. En agissant ainsi, l’avocat a violé les conditions de son mandat en effectuant des transactions immobilières pour le compte des propriétaires de la SCI via son compte personnel, au lieu du compte professionnel de la SCPA où il exerce.</w:t>
      </w:r>
    </w:p>
    <w:p w14:paraId="3143EE0D" w14:textId="77777777" w:rsidR="00A87871" w:rsidRDefault="00A87871" w:rsidP="00DD206B">
      <w:pPr>
        <w:tabs>
          <w:tab w:val="left" w:pos="567"/>
        </w:tabs>
        <w:spacing w:before="240" w:after="120" w:line="360" w:lineRule="auto"/>
        <w:contextualSpacing/>
        <w:jc w:val="both"/>
        <w:rPr>
          <w:rFonts w:cs="Times New Roman"/>
          <w:sz w:val="24"/>
          <w:szCs w:val="24"/>
        </w:rPr>
      </w:pPr>
    </w:p>
    <w:p w14:paraId="3EFDC3F9" w14:textId="29446E3B" w:rsidR="00E25042" w:rsidRPr="00AA6921" w:rsidRDefault="00E25042" w:rsidP="00E25042">
      <w:pPr>
        <w:tabs>
          <w:tab w:val="left" w:pos="567"/>
        </w:tabs>
        <w:spacing w:before="240" w:after="120" w:line="360" w:lineRule="auto"/>
        <w:contextualSpacing/>
        <w:jc w:val="center"/>
        <w:rPr>
          <w:rFonts w:cs="Times New Roman"/>
          <w:b/>
          <w:bCs/>
          <w:i/>
          <w:iCs/>
          <w:sz w:val="22"/>
          <w:szCs w:val="22"/>
        </w:rPr>
      </w:pPr>
      <w:r>
        <w:rPr>
          <w:rFonts w:cs="Times New Roman"/>
          <w:b/>
          <w:bCs/>
          <w:i/>
          <w:iCs/>
          <w:sz w:val="22"/>
          <w:szCs w:val="22"/>
        </w:rPr>
        <w:t>(</w:t>
      </w:r>
      <w:r w:rsidRPr="00AA6921">
        <w:rPr>
          <w:rFonts w:cs="Times New Roman"/>
          <w:b/>
          <w:bCs/>
          <w:i/>
          <w:iCs/>
          <w:sz w:val="22"/>
          <w:szCs w:val="22"/>
        </w:rPr>
        <w:t>Les autres cas concrets concernant la menace</w:t>
      </w:r>
      <w:r>
        <w:rPr>
          <w:rFonts w:cs="Times New Roman"/>
          <w:b/>
          <w:bCs/>
          <w:i/>
          <w:iCs/>
          <w:sz w:val="22"/>
          <w:szCs w:val="22"/>
        </w:rPr>
        <w:t xml:space="preserve"> selon le secteur</w:t>
      </w:r>
      <w:r w:rsidRPr="00AA6921">
        <w:rPr>
          <w:rFonts w:cs="Times New Roman"/>
          <w:b/>
          <w:bCs/>
          <w:i/>
          <w:iCs/>
          <w:sz w:val="22"/>
          <w:szCs w:val="22"/>
        </w:rPr>
        <w:t xml:space="preserve"> sont en annexe.</w:t>
      </w:r>
      <w:r>
        <w:rPr>
          <w:rFonts w:cs="Times New Roman"/>
          <w:b/>
          <w:bCs/>
          <w:i/>
          <w:iCs/>
          <w:sz w:val="22"/>
          <w:szCs w:val="22"/>
        </w:rPr>
        <w:t>)</w:t>
      </w:r>
    </w:p>
    <w:p w14:paraId="0749B1D6" w14:textId="77777777" w:rsidR="00A87871" w:rsidRDefault="00A87871" w:rsidP="00DD206B">
      <w:pPr>
        <w:tabs>
          <w:tab w:val="left" w:pos="567"/>
        </w:tabs>
        <w:spacing w:before="240" w:after="120" w:line="360" w:lineRule="auto"/>
        <w:contextualSpacing/>
        <w:jc w:val="both"/>
        <w:rPr>
          <w:rFonts w:cs="Times New Roman"/>
          <w:sz w:val="24"/>
          <w:szCs w:val="24"/>
        </w:rPr>
      </w:pPr>
    </w:p>
    <w:p w14:paraId="1BC870DC" w14:textId="2733D378" w:rsidR="007A3EC4" w:rsidRPr="00E25042" w:rsidRDefault="007A3EC4" w:rsidP="00DD206B">
      <w:pPr>
        <w:tabs>
          <w:tab w:val="left" w:pos="567"/>
        </w:tabs>
        <w:spacing w:before="240" w:after="120" w:line="360" w:lineRule="auto"/>
        <w:contextualSpacing/>
        <w:jc w:val="both"/>
        <w:rPr>
          <w:rFonts w:cs="Times New Roman"/>
          <w:b/>
          <w:bCs/>
          <w:sz w:val="24"/>
          <w:szCs w:val="24"/>
          <w:u w:val="single"/>
        </w:rPr>
      </w:pPr>
      <w:r w:rsidRPr="00E25042">
        <w:rPr>
          <w:b/>
          <w:bCs/>
          <w:sz w:val="24"/>
          <w:szCs w:val="24"/>
          <w:u w:val="single"/>
        </w:rPr>
        <w:t>Niveau de la menace de BC liée aux secteurs</w:t>
      </w:r>
      <w:r w:rsidR="005D72A8" w:rsidRPr="00E25042">
        <w:rPr>
          <w:b/>
          <w:bCs/>
          <w:sz w:val="24"/>
          <w:szCs w:val="24"/>
          <w:u w:val="single"/>
        </w:rPr>
        <w:t xml:space="preserve">  </w:t>
      </w:r>
    </w:p>
    <w:tbl>
      <w:tblPr>
        <w:tblStyle w:val="Grilledutableau"/>
        <w:tblW w:w="0" w:type="auto"/>
        <w:shd w:val="clear" w:color="auto" w:fill="E8E8E8" w:themeFill="background2"/>
        <w:tblLook w:val="04A0" w:firstRow="1" w:lastRow="0" w:firstColumn="1" w:lastColumn="0" w:noHBand="0" w:noVBand="1"/>
      </w:tblPr>
      <w:tblGrid>
        <w:gridCol w:w="9016"/>
      </w:tblGrid>
      <w:tr w:rsidR="006C4BA4" w14:paraId="61B5452C" w14:textId="77777777" w:rsidTr="00E25042">
        <w:tc>
          <w:tcPr>
            <w:tcW w:w="9016" w:type="dxa"/>
            <w:shd w:val="clear" w:color="auto" w:fill="C1E4F5" w:themeFill="accent1" w:themeFillTint="33"/>
          </w:tcPr>
          <w:p w14:paraId="684BB5E0" w14:textId="77777777" w:rsidR="006C4BA4" w:rsidRPr="006C4BA4" w:rsidRDefault="006C4BA4" w:rsidP="00E25042">
            <w:pPr>
              <w:shd w:val="clear" w:color="auto" w:fill="C1E4F5" w:themeFill="accent1" w:themeFillTint="33"/>
              <w:tabs>
                <w:tab w:val="left" w:pos="567"/>
              </w:tabs>
              <w:spacing w:before="240" w:after="120" w:line="360" w:lineRule="auto"/>
              <w:jc w:val="both"/>
              <w:rPr>
                <w:rFonts w:cs="Times New Roman"/>
                <w:sz w:val="24"/>
                <w:szCs w:val="24"/>
              </w:rPr>
            </w:pPr>
            <w:r w:rsidRPr="006C4BA4">
              <w:rPr>
                <w:rFonts w:cs="Times New Roman"/>
                <w:sz w:val="24"/>
                <w:szCs w:val="24"/>
              </w:rPr>
              <w:t>Les niveaux de la menace</w:t>
            </w:r>
            <w:r>
              <w:rPr>
                <w:rFonts w:cs="Times New Roman"/>
                <w:sz w:val="24"/>
                <w:szCs w:val="24"/>
              </w:rPr>
              <w:t xml:space="preserve"> de BC</w:t>
            </w:r>
            <w:r w:rsidRPr="006C4BA4">
              <w:rPr>
                <w:rFonts w:cs="Times New Roman"/>
                <w:sz w:val="24"/>
                <w:szCs w:val="24"/>
              </w:rPr>
              <w:t xml:space="preserve"> liée aux secteurs assujettis les plus à risque se présentent comme suit : </w:t>
            </w:r>
          </w:p>
          <w:p w14:paraId="3B8D38F4" w14:textId="43050528" w:rsidR="006C4BA4" w:rsidRPr="006C4BA4" w:rsidRDefault="006C4BA4" w:rsidP="00E25042">
            <w:pPr>
              <w:pStyle w:val="Paragraphedeliste"/>
              <w:numPr>
                <w:ilvl w:val="0"/>
                <w:numId w:val="13"/>
              </w:numPr>
              <w:shd w:val="clear" w:color="auto" w:fill="C1E4F5" w:themeFill="accent1" w:themeFillTint="33"/>
              <w:tabs>
                <w:tab w:val="left" w:pos="567"/>
              </w:tabs>
              <w:spacing w:before="240" w:after="120" w:line="360" w:lineRule="auto"/>
              <w:jc w:val="both"/>
              <w:rPr>
                <w:rFonts w:cs="Times New Roman"/>
                <w:sz w:val="24"/>
                <w:szCs w:val="24"/>
              </w:rPr>
            </w:pPr>
            <w:proofErr w:type="gramStart"/>
            <w:r w:rsidRPr="006C4BA4">
              <w:rPr>
                <w:rFonts w:cs="Times New Roman"/>
                <w:b/>
                <w:bCs/>
                <w:sz w:val="24"/>
                <w:szCs w:val="24"/>
              </w:rPr>
              <w:t>important</w:t>
            </w:r>
            <w:proofErr w:type="gramEnd"/>
            <w:r w:rsidRPr="006C4BA4">
              <w:rPr>
                <w:rFonts w:cs="Times New Roman"/>
                <w:sz w:val="24"/>
                <w:szCs w:val="24"/>
              </w:rPr>
              <w:t xml:space="preserve"> pour les Banques, les AIF, l’immobilier, les expert</w:t>
            </w:r>
            <w:r w:rsidR="00936BB1">
              <w:rPr>
                <w:rFonts w:cs="Times New Roman"/>
                <w:sz w:val="24"/>
                <w:szCs w:val="24"/>
              </w:rPr>
              <w:t xml:space="preserve">s </w:t>
            </w:r>
            <w:r w:rsidRPr="006C4BA4">
              <w:rPr>
                <w:rFonts w:cs="Times New Roman"/>
                <w:sz w:val="24"/>
                <w:szCs w:val="24"/>
              </w:rPr>
              <w:t>comptable</w:t>
            </w:r>
            <w:r w:rsidR="00936BB1">
              <w:rPr>
                <w:rFonts w:cs="Times New Roman"/>
                <w:sz w:val="24"/>
                <w:szCs w:val="24"/>
              </w:rPr>
              <w:t>s</w:t>
            </w:r>
            <w:r w:rsidRPr="006C4BA4">
              <w:rPr>
                <w:rFonts w:cs="Times New Roman"/>
                <w:sz w:val="24"/>
                <w:szCs w:val="24"/>
              </w:rPr>
              <w:t xml:space="preserve"> et les notaires ; </w:t>
            </w:r>
          </w:p>
          <w:p w14:paraId="33CEB5AB" w14:textId="4D0FA2E3" w:rsidR="006C4BA4" w:rsidRPr="006C4BA4" w:rsidRDefault="006C4BA4" w:rsidP="00E25042">
            <w:pPr>
              <w:pStyle w:val="Paragraphedeliste"/>
              <w:numPr>
                <w:ilvl w:val="0"/>
                <w:numId w:val="13"/>
              </w:numPr>
              <w:shd w:val="clear" w:color="auto" w:fill="C1E4F5" w:themeFill="accent1" w:themeFillTint="33"/>
              <w:tabs>
                <w:tab w:val="left" w:pos="567"/>
              </w:tabs>
              <w:spacing w:before="240" w:after="120" w:line="360" w:lineRule="auto"/>
              <w:jc w:val="both"/>
              <w:rPr>
                <w:sz w:val="24"/>
                <w:szCs w:val="24"/>
              </w:rPr>
            </w:pPr>
            <w:proofErr w:type="gramStart"/>
            <w:r w:rsidRPr="006C4BA4">
              <w:rPr>
                <w:b/>
                <w:bCs/>
                <w:sz w:val="24"/>
                <w:szCs w:val="24"/>
              </w:rPr>
              <w:t>pas</w:t>
            </w:r>
            <w:proofErr w:type="gramEnd"/>
            <w:r w:rsidRPr="006C4BA4">
              <w:rPr>
                <w:b/>
                <w:bCs/>
                <w:sz w:val="24"/>
                <w:szCs w:val="24"/>
              </w:rPr>
              <w:t xml:space="preserve"> </w:t>
            </w:r>
            <w:r w:rsidR="00F3420D" w:rsidRPr="006C4BA4">
              <w:rPr>
                <w:b/>
                <w:bCs/>
                <w:sz w:val="24"/>
                <w:szCs w:val="24"/>
              </w:rPr>
              <w:t>important pour</w:t>
            </w:r>
            <w:r w:rsidRPr="006C4BA4">
              <w:rPr>
                <w:sz w:val="24"/>
                <w:szCs w:val="24"/>
              </w:rPr>
              <w:t xml:space="preserve"> les assurances et les titres et valeur mobilière ;</w:t>
            </w:r>
          </w:p>
          <w:p w14:paraId="15045172" w14:textId="6DC08402" w:rsidR="006C4BA4" w:rsidRDefault="006C4BA4" w:rsidP="00DD206B">
            <w:pPr>
              <w:tabs>
                <w:tab w:val="left" w:pos="567"/>
              </w:tabs>
              <w:spacing w:before="240" w:after="120" w:line="360" w:lineRule="auto"/>
              <w:contextualSpacing/>
              <w:jc w:val="both"/>
              <w:rPr>
                <w:rFonts w:cs="Times New Roman"/>
                <w:sz w:val="24"/>
                <w:szCs w:val="24"/>
              </w:rPr>
            </w:pPr>
            <w:r w:rsidRPr="006C4BA4">
              <w:rPr>
                <w:rFonts w:cs="Times New Roman"/>
                <w:sz w:val="24"/>
                <w:szCs w:val="24"/>
              </w:rPr>
              <w:t xml:space="preserve">La menace globale de BC liée aux secteurs assujettis les plus à risque est </w:t>
            </w:r>
            <w:r w:rsidRPr="006C4BA4">
              <w:rPr>
                <w:rFonts w:cs="Times New Roman"/>
                <w:b/>
                <w:bCs/>
                <w:sz w:val="24"/>
                <w:szCs w:val="24"/>
              </w:rPr>
              <w:t>« important »</w:t>
            </w:r>
            <w:r>
              <w:rPr>
                <w:rFonts w:cs="Times New Roman"/>
                <w:b/>
                <w:bCs/>
                <w:sz w:val="24"/>
                <w:szCs w:val="24"/>
              </w:rPr>
              <w:t>.</w:t>
            </w:r>
          </w:p>
        </w:tc>
      </w:tr>
    </w:tbl>
    <w:p w14:paraId="052A3CB0" w14:textId="77777777" w:rsidR="00AF50E3" w:rsidRDefault="00AF50E3" w:rsidP="00DD206B">
      <w:pPr>
        <w:tabs>
          <w:tab w:val="left" w:pos="567"/>
        </w:tabs>
        <w:spacing w:before="240" w:after="120" w:line="360" w:lineRule="auto"/>
        <w:contextualSpacing/>
        <w:jc w:val="both"/>
        <w:rPr>
          <w:rFonts w:cs="Times New Roman"/>
          <w:sz w:val="24"/>
          <w:szCs w:val="24"/>
        </w:rPr>
        <w:sectPr w:rsidR="00AF50E3" w:rsidSect="004838E6">
          <w:pgSz w:w="11906" w:h="16838" w:code="9"/>
          <w:pgMar w:top="1440" w:right="1440" w:bottom="1134" w:left="1440" w:header="708" w:footer="708" w:gutter="0"/>
          <w:cols w:space="708"/>
          <w:docGrid w:linePitch="360"/>
        </w:sectPr>
      </w:pPr>
    </w:p>
    <w:p w14:paraId="01DA483F" w14:textId="41A8CBCA" w:rsidR="001E3067" w:rsidRPr="009461FB" w:rsidRDefault="00352AE9" w:rsidP="00DD206B">
      <w:pPr>
        <w:pStyle w:val="Titre2"/>
        <w:rPr>
          <w:sz w:val="22"/>
        </w:rPr>
      </w:pPr>
      <w:bookmarkStart w:id="25" w:name="_Hlk211008213"/>
      <w:bookmarkStart w:id="26" w:name="_Toc213326909"/>
      <w:r w:rsidRPr="009461FB">
        <w:rPr>
          <w:sz w:val="22"/>
        </w:rPr>
        <w:lastRenderedPageBreak/>
        <w:t>LA MENACE DE BC A TRAVERS L’UTILISATION DES PERSONNES MORALES (PM)</w:t>
      </w:r>
      <w:bookmarkEnd w:id="26"/>
    </w:p>
    <w:bookmarkEnd w:id="25"/>
    <w:p w14:paraId="6906E2D4" w14:textId="104D7565" w:rsidR="007E13A3" w:rsidRPr="00114283" w:rsidRDefault="007E13A3" w:rsidP="00DD206B">
      <w:pPr>
        <w:spacing w:line="360" w:lineRule="auto"/>
        <w:jc w:val="both"/>
        <w:rPr>
          <w:rFonts w:cs="Times New Roman"/>
          <w:sz w:val="24"/>
          <w:szCs w:val="24"/>
        </w:rPr>
      </w:pPr>
      <w:r w:rsidRPr="00114283">
        <w:rPr>
          <w:rFonts w:cs="Times New Roman"/>
          <w:sz w:val="24"/>
          <w:szCs w:val="24"/>
        </w:rPr>
        <w:t>Les PM qui sont exploitées par les criminels financiers en CI sont généralement de structures simples. En effet, dans la plupart des cas traités par les autorités d’enquête et de poursuite, il s’agit de sociétés ayant un seul niveau de propriété et dont les associés principaux ou l’associé unique sont les Bénéficiaires Effectifs (BE). Par exemple, dans l’affaire dite des VTC, les sociétés impliquées avaient des structures simples. Elles ont eu recours au système de Ponzi pour escroquer et blanchir la somme de 9 283 279 551 francs CFA.</w:t>
      </w:r>
    </w:p>
    <w:p w14:paraId="48E6985E" w14:textId="069D6003" w:rsidR="007E13A3" w:rsidRPr="00114283" w:rsidRDefault="007E13A3" w:rsidP="00DD206B">
      <w:pPr>
        <w:spacing w:line="360" w:lineRule="auto"/>
        <w:jc w:val="both"/>
        <w:rPr>
          <w:rFonts w:cs="Times New Roman"/>
          <w:sz w:val="24"/>
          <w:szCs w:val="24"/>
        </w:rPr>
      </w:pPr>
      <w:r w:rsidRPr="00114283">
        <w:rPr>
          <w:rFonts w:cs="Times New Roman"/>
          <w:sz w:val="24"/>
          <w:szCs w:val="24"/>
        </w:rPr>
        <w:t>Toutefois, dans certains cas, les délinquants utilisent des structures de propriété complexes dont l’opacité est renforcée par l’intervention de sociétés étrangères. Dans ces affaires, c’est par la coopération internationale que les autorités compétentes viennent à bout des délinquants financiers. Par exemple, dans le cadre d’un dossier ouvert à la suite d’une information anonyme, le PPEF a désigné l’UCT pour conduire une enquête. Recourant à la coopération internationale informelle avec le Togo et la France, l’UCT a découvert l’exploitation de sociétés étrangères appartenant à des mis en cause domiciliés dans ces juridictions.</w:t>
      </w:r>
    </w:p>
    <w:p w14:paraId="5952E8B5" w14:textId="5E790F08" w:rsidR="007E13A3" w:rsidRPr="00114283" w:rsidRDefault="007E13A3" w:rsidP="00DD206B">
      <w:pPr>
        <w:spacing w:line="360" w:lineRule="auto"/>
        <w:jc w:val="both"/>
        <w:rPr>
          <w:rFonts w:cs="Times New Roman"/>
          <w:sz w:val="24"/>
          <w:szCs w:val="24"/>
        </w:rPr>
      </w:pPr>
      <w:r w:rsidRPr="00114283">
        <w:rPr>
          <w:rFonts w:cs="Times New Roman"/>
          <w:sz w:val="24"/>
          <w:szCs w:val="24"/>
        </w:rPr>
        <w:t>Par ailleurs, à mai 2024, la Côte d’Ivoire a reçu 03 commissions rogatoires relatives à l’utilisation abusive des personnes morales respectivement du Sénégal (24 avril 2023), du Burkina Faso (13 novembre 2023) et de la France (14 mars 2024), ce qui conforte le caractère parfois transnational de cette menace.</w:t>
      </w:r>
    </w:p>
    <w:p w14:paraId="13FC5937" w14:textId="77777777" w:rsidR="001E300D" w:rsidRDefault="001E300D" w:rsidP="00DD206B">
      <w:pPr>
        <w:spacing w:line="360" w:lineRule="auto"/>
        <w:jc w:val="both"/>
        <w:rPr>
          <w:rFonts w:cs="Times New Roman"/>
          <w:sz w:val="24"/>
          <w:szCs w:val="24"/>
        </w:rPr>
      </w:pPr>
      <w:r w:rsidRPr="000E6CAC">
        <w:rPr>
          <w:rFonts w:cs="Times New Roman"/>
          <w:sz w:val="24"/>
          <w:szCs w:val="24"/>
        </w:rPr>
        <w:t xml:space="preserve">De même, sur la période de septembre 2024 au 31 juillet 2025, la DGI a reçu 315 demandes d’information, principalement de la CENTIF, du PPEF et de la HABG. </w:t>
      </w:r>
    </w:p>
    <w:p w14:paraId="57FF0A61" w14:textId="3A8A29C4" w:rsidR="007E13A3" w:rsidRDefault="007E13A3" w:rsidP="00DD206B">
      <w:pPr>
        <w:spacing w:line="360" w:lineRule="auto"/>
        <w:jc w:val="both"/>
        <w:rPr>
          <w:rFonts w:cs="Times New Roman"/>
          <w:sz w:val="24"/>
          <w:szCs w:val="24"/>
        </w:rPr>
      </w:pPr>
      <w:r w:rsidRPr="00114283">
        <w:rPr>
          <w:rFonts w:cs="Times New Roman"/>
          <w:sz w:val="24"/>
          <w:szCs w:val="24"/>
        </w:rPr>
        <w:t>D’après les données du PPEF,</w:t>
      </w:r>
      <w:r w:rsidR="00216DD7">
        <w:rPr>
          <w:rFonts w:cs="Times New Roman"/>
          <w:sz w:val="24"/>
          <w:szCs w:val="24"/>
        </w:rPr>
        <w:t xml:space="preserve"> de janvier 2024</w:t>
      </w:r>
      <w:r w:rsidRPr="00114283">
        <w:rPr>
          <w:rFonts w:cs="Times New Roman"/>
          <w:sz w:val="24"/>
          <w:szCs w:val="24"/>
        </w:rPr>
        <w:t xml:space="preserve"> à </w:t>
      </w:r>
      <w:r w:rsidR="00216DD7">
        <w:rPr>
          <w:rFonts w:cs="Times New Roman"/>
          <w:sz w:val="24"/>
          <w:szCs w:val="24"/>
        </w:rPr>
        <w:t>juillet</w:t>
      </w:r>
      <w:r w:rsidRPr="00114283">
        <w:rPr>
          <w:rFonts w:cs="Times New Roman"/>
          <w:sz w:val="24"/>
          <w:szCs w:val="24"/>
        </w:rPr>
        <w:t xml:space="preserve"> 202</w:t>
      </w:r>
      <w:r w:rsidR="00216DD7">
        <w:rPr>
          <w:rFonts w:cs="Times New Roman"/>
          <w:sz w:val="24"/>
          <w:szCs w:val="24"/>
        </w:rPr>
        <w:t>5</w:t>
      </w:r>
      <w:r w:rsidRPr="00114283">
        <w:rPr>
          <w:rFonts w:cs="Times New Roman"/>
          <w:sz w:val="24"/>
          <w:szCs w:val="24"/>
        </w:rPr>
        <w:t xml:space="preserve">, il y a </w:t>
      </w:r>
      <w:r w:rsidR="00216DD7">
        <w:rPr>
          <w:rFonts w:cs="Times New Roman"/>
          <w:sz w:val="24"/>
          <w:szCs w:val="24"/>
        </w:rPr>
        <w:t>192</w:t>
      </w:r>
      <w:r w:rsidRPr="00114283">
        <w:rPr>
          <w:rFonts w:cs="Times New Roman"/>
          <w:sz w:val="24"/>
          <w:szCs w:val="24"/>
        </w:rPr>
        <w:t xml:space="preserve"> personnes morales poursuivies dans 1</w:t>
      </w:r>
      <w:r w:rsidR="00216DD7">
        <w:rPr>
          <w:rFonts w:cs="Times New Roman"/>
          <w:sz w:val="24"/>
          <w:szCs w:val="24"/>
        </w:rPr>
        <w:t>081</w:t>
      </w:r>
      <w:r w:rsidRPr="00114283">
        <w:rPr>
          <w:rFonts w:cs="Times New Roman"/>
          <w:sz w:val="24"/>
          <w:szCs w:val="24"/>
        </w:rPr>
        <w:t xml:space="preserve"> dossiers. Les infractions sous-jacentes les plus récurrentes sont la fraude fiscale et douanière, l’escroquerie, la corruption, le trafic de stupéfiants, le faux et usage de faux et l’abus de confiance.</w:t>
      </w:r>
    </w:p>
    <w:p w14:paraId="3B3DFCFA" w14:textId="77777777" w:rsidR="005018A9" w:rsidRPr="00114283" w:rsidRDefault="005018A9" w:rsidP="00DD206B">
      <w:pPr>
        <w:spacing w:line="360" w:lineRule="auto"/>
        <w:jc w:val="both"/>
        <w:rPr>
          <w:rFonts w:cs="Times New Roman"/>
          <w:sz w:val="24"/>
          <w:szCs w:val="24"/>
        </w:rPr>
      </w:pPr>
      <w:r w:rsidRPr="00114283">
        <w:rPr>
          <w:rFonts w:cs="Times New Roman"/>
          <w:sz w:val="24"/>
          <w:szCs w:val="24"/>
        </w:rPr>
        <w:t>Toujours, selon les données du PPEF, le montant blanchi par les personnes morales en Côte d’Ivoire à mai 2024 s’élève à 287 555 519 357 francs CFA.</w:t>
      </w:r>
    </w:p>
    <w:p w14:paraId="541EE5F3" w14:textId="77777777" w:rsidR="005018A9" w:rsidRPr="00114283" w:rsidRDefault="005018A9" w:rsidP="00DD206B">
      <w:pPr>
        <w:spacing w:line="360" w:lineRule="auto"/>
        <w:jc w:val="both"/>
        <w:rPr>
          <w:rFonts w:cs="Times New Roman"/>
          <w:sz w:val="24"/>
          <w:szCs w:val="24"/>
        </w:rPr>
      </w:pPr>
      <w:r w:rsidRPr="00114283">
        <w:rPr>
          <w:rFonts w:cs="Times New Roman"/>
          <w:sz w:val="24"/>
          <w:szCs w:val="24"/>
        </w:rPr>
        <w:t xml:space="preserve">En ce qui concerne les biens saisis, le montant des espèces est de 1 940 130 442 francs CFA. L’on note également 10 comptes bancaires avec soldes inconnus, 2 comptes de dépôt à terme </w:t>
      </w:r>
      <w:r w:rsidRPr="00114283">
        <w:rPr>
          <w:rFonts w:cs="Times New Roman"/>
          <w:sz w:val="24"/>
          <w:szCs w:val="24"/>
        </w:rPr>
        <w:lastRenderedPageBreak/>
        <w:t>d’un montant d’un milliard de francs CFA, 20 terrains nus, 2 terrains bâtis, une société et 8 véhicules.</w:t>
      </w:r>
    </w:p>
    <w:p w14:paraId="614AF2E4" w14:textId="77777777" w:rsidR="005018A9" w:rsidRDefault="005018A9" w:rsidP="00DD206B">
      <w:pPr>
        <w:spacing w:line="360" w:lineRule="auto"/>
        <w:jc w:val="both"/>
        <w:rPr>
          <w:rFonts w:cs="Times New Roman"/>
          <w:sz w:val="24"/>
          <w:szCs w:val="24"/>
        </w:rPr>
      </w:pPr>
      <w:r w:rsidRPr="00114283">
        <w:rPr>
          <w:rFonts w:cs="Times New Roman"/>
          <w:sz w:val="24"/>
          <w:szCs w:val="24"/>
        </w:rPr>
        <w:t>Pour ce qui est des biens confisqués, le montant des espèces est de 11 970 504 francs CFA. Il y a également 9 comptes bancaires avec soldes inconnus, un terrain nu et 4 véhicules confisqués.</w:t>
      </w:r>
    </w:p>
    <w:p w14:paraId="6E3E157C" w14:textId="0CA65B8C" w:rsidR="007E13A3" w:rsidRPr="00114283" w:rsidRDefault="007E13A3" w:rsidP="00DD206B">
      <w:pPr>
        <w:spacing w:line="360" w:lineRule="auto"/>
        <w:jc w:val="both"/>
        <w:rPr>
          <w:rFonts w:cs="Times New Roman"/>
          <w:sz w:val="24"/>
          <w:szCs w:val="24"/>
        </w:rPr>
      </w:pPr>
      <w:r w:rsidRPr="00114283">
        <w:rPr>
          <w:rFonts w:cs="Times New Roman"/>
          <w:sz w:val="24"/>
          <w:szCs w:val="24"/>
        </w:rPr>
        <w:t>Concernant particulièrement la corruption, le rapport d’analyse stratégique de la CENTIF de mai 2024 présente plusieurs techniques impliquant l’utilisation des personnes morales. Il s’agit entre autres de :</w:t>
      </w:r>
    </w:p>
    <w:p w14:paraId="5ECB259D" w14:textId="0D4FAA8B" w:rsidR="007E13A3" w:rsidRPr="00114283" w:rsidRDefault="007E13A3" w:rsidP="00DD206B">
      <w:pPr>
        <w:pStyle w:val="Paragraphedeliste"/>
        <w:numPr>
          <w:ilvl w:val="1"/>
          <w:numId w:val="8"/>
        </w:numPr>
        <w:spacing w:line="360" w:lineRule="auto"/>
        <w:jc w:val="both"/>
        <w:rPr>
          <w:rFonts w:cs="Times New Roman"/>
          <w:sz w:val="24"/>
          <w:szCs w:val="24"/>
        </w:rPr>
      </w:pPr>
      <w:proofErr w:type="gramStart"/>
      <w:r w:rsidRPr="00114283">
        <w:rPr>
          <w:rFonts w:cs="Times New Roman"/>
          <w:sz w:val="24"/>
          <w:szCs w:val="24"/>
        </w:rPr>
        <w:t>création</w:t>
      </w:r>
      <w:proofErr w:type="gramEnd"/>
      <w:r w:rsidRPr="00114283">
        <w:rPr>
          <w:rFonts w:cs="Times New Roman"/>
          <w:sz w:val="24"/>
          <w:szCs w:val="24"/>
        </w:rPr>
        <w:t xml:space="preserve"> de sociétés écrans ou fictives et notamment des sociétés civiles immobilières ;</w:t>
      </w:r>
    </w:p>
    <w:p w14:paraId="326EE3B5" w14:textId="52989F4A" w:rsidR="007E13A3" w:rsidRPr="00114283" w:rsidRDefault="007E13A3" w:rsidP="00DD206B">
      <w:pPr>
        <w:pStyle w:val="Paragraphedeliste"/>
        <w:numPr>
          <w:ilvl w:val="1"/>
          <w:numId w:val="8"/>
        </w:numPr>
        <w:spacing w:line="360" w:lineRule="auto"/>
        <w:jc w:val="both"/>
        <w:rPr>
          <w:rFonts w:cs="Times New Roman"/>
          <w:sz w:val="24"/>
          <w:szCs w:val="24"/>
        </w:rPr>
      </w:pPr>
      <w:proofErr w:type="gramStart"/>
      <w:r w:rsidRPr="00114283">
        <w:rPr>
          <w:rFonts w:cs="Times New Roman"/>
          <w:sz w:val="24"/>
          <w:szCs w:val="24"/>
        </w:rPr>
        <w:t>création</w:t>
      </w:r>
      <w:proofErr w:type="gramEnd"/>
      <w:r w:rsidRPr="00114283">
        <w:rPr>
          <w:rFonts w:cs="Times New Roman"/>
          <w:sz w:val="24"/>
          <w:szCs w:val="24"/>
        </w:rPr>
        <w:t xml:space="preserve"> de groupes de sociétés apparentées ;</w:t>
      </w:r>
    </w:p>
    <w:p w14:paraId="63227144" w14:textId="656BE72A" w:rsidR="007E13A3" w:rsidRPr="00114283" w:rsidRDefault="007E13A3" w:rsidP="00DD206B">
      <w:pPr>
        <w:pStyle w:val="Paragraphedeliste"/>
        <w:numPr>
          <w:ilvl w:val="1"/>
          <w:numId w:val="8"/>
        </w:numPr>
        <w:spacing w:line="360" w:lineRule="auto"/>
        <w:jc w:val="both"/>
        <w:rPr>
          <w:rFonts w:cs="Times New Roman"/>
          <w:sz w:val="24"/>
          <w:szCs w:val="24"/>
        </w:rPr>
      </w:pPr>
      <w:proofErr w:type="gramStart"/>
      <w:r w:rsidRPr="00114283">
        <w:rPr>
          <w:rFonts w:cs="Times New Roman"/>
          <w:sz w:val="24"/>
          <w:szCs w:val="24"/>
        </w:rPr>
        <w:t>transactions</w:t>
      </w:r>
      <w:proofErr w:type="gramEnd"/>
      <w:r w:rsidRPr="00114283">
        <w:rPr>
          <w:rFonts w:cs="Times New Roman"/>
          <w:sz w:val="24"/>
          <w:szCs w:val="24"/>
        </w:rPr>
        <w:t xml:space="preserve"> multiples entre groupes de sociétés apparentées ;</w:t>
      </w:r>
    </w:p>
    <w:p w14:paraId="72E0E53B" w14:textId="12CA38F9" w:rsidR="007E13A3" w:rsidRPr="00114283" w:rsidRDefault="007E13A3" w:rsidP="00DD206B">
      <w:pPr>
        <w:pStyle w:val="Paragraphedeliste"/>
        <w:numPr>
          <w:ilvl w:val="1"/>
          <w:numId w:val="8"/>
        </w:numPr>
        <w:spacing w:line="360" w:lineRule="auto"/>
        <w:jc w:val="both"/>
        <w:rPr>
          <w:rFonts w:cs="Times New Roman"/>
          <w:sz w:val="24"/>
          <w:szCs w:val="24"/>
        </w:rPr>
      </w:pPr>
      <w:proofErr w:type="gramStart"/>
      <w:r w:rsidRPr="00114283">
        <w:rPr>
          <w:rFonts w:cs="Times New Roman"/>
          <w:sz w:val="24"/>
          <w:szCs w:val="24"/>
        </w:rPr>
        <w:t>transactions</w:t>
      </w:r>
      <w:proofErr w:type="gramEnd"/>
      <w:r w:rsidRPr="00114283">
        <w:rPr>
          <w:rFonts w:cs="Times New Roman"/>
          <w:sz w:val="24"/>
          <w:szCs w:val="24"/>
        </w:rPr>
        <w:t xml:space="preserve"> financières sans motif économique entre groupes de sociétés apparentées.</w:t>
      </w:r>
    </w:p>
    <w:p w14:paraId="4566F530" w14:textId="72F85EA1" w:rsidR="007E13A3" w:rsidRPr="00114283" w:rsidRDefault="007E13A3" w:rsidP="00DD206B">
      <w:pPr>
        <w:spacing w:line="360" w:lineRule="auto"/>
        <w:jc w:val="both"/>
        <w:rPr>
          <w:rFonts w:cs="Times New Roman"/>
          <w:sz w:val="24"/>
          <w:szCs w:val="24"/>
        </w:rPr>
      </w:pPr>
      <w:r w:rsidRPr="00114283">
        <w:rPr>
          <w:rFonts w:cs="Times New Roman"/>
          <w:sz w:val="24"/>
          <w:szCs w:val="24"/>
        </w:rPr>
        <w:t>Les auteurs des autres infractions sous-jacentes ont parfois recours aux mêmes procédés. Ainsi, s’agissant du trafic de stupéfiants qui prend dans le pays des proportions inquiétantes, de nombreux cas montrent l’utilisation abusive des PM à des fins de BC. C’est l’exemple de l’affaire KIBOR dans laquelle était impliquée la société « KIBOR » ainsi qu'une multitude de sociétés écrans créées en Côte d’Ivoire et à l’étranger de même que des comptes bancaires ouverts au nom de ces sociétés. L’utilisation des structures de propriété complexes, permet également de dissimuler facilement les bénéficiaires effectifs des PM.</w:t>
      </w:r>
    </w:p>
    <w:p w14:paraId="36A4B25F" w14:textId="3D532CD7" w:rsidR="007E13A3" w:rsidRPr="00114283" w:rsidRDefault="007E13A3" w:rsidP="00DD206B">
      <w:pPr>
        <w:spacing w:line="360" w:lineRule="auto"/>
        <w:jc w:val="both"/>
        <w:rPr>
          <w:rFonts w:cs="Times New Roman"/>
          <w:sz w:val="24"/>
          <w:szCs w:val="24"/>
        </w:rPr>
      </w:pPr>
      <w:r w:rsidRPr="00114283">
        <w:rPr>
          <w:rFonts w:cs="Times New Roman"/>
          <w:sz w:val="24"/>
          <w:szCs w:val="24"/>
        </w:rPr>
        <w:t>Les SARL sont la forme de société commerciale la plus utilisée par les criminels financiers. Cela se perçoit à travers les données de la CENTIF et des autorités d’enquête et de poursuite. Ainsi, 63% des DOS impliquant les personnes morales en 2022, 61% en 2023 et 84% en 2024 concernent les SARL. De même, 68% des plaintes reçues par la police économique relatives aux PM de 2022 à 2024 concernent les SARL. Pour ce qui est des poursuites, 75% d’entre elles impliquant des PM en 2022 et 85% en 2023 concernent les SARL.</w:t>
      </w:r>
    </w:p>
    <w:p w14:paraId="4470BF91" w14:textId="3AEC12BE" w:rsidR="007E13A3" w:rsidRPr="00114283" w:rsidRDefault="007E13A3" w:rsidP="00DD206B">
      <w:pPr>
        <w:spacing w:line="360" w:lineRule="auto"/>
        <w:jc w:val="both"/>
        <w:rPr>
          <w:rFonts w:cs="Times New Roman"/>
          <w:sz w:val="24"/>
          <w:szCs w:val="24"/>
        </w:rPr>
      </w:pPr>
      <w:r w:rsidRPr="00114283">
        <w:rPr>
          <w:rFonts w:cs="Times New Roman"/>
          <w:sz w:val="24"/>
          <w:szCs w:val="24"/>
        </w:rPr>
        <w:t>Parmi les PM poursuivies pour BC en Côte d’Ivoire, 31,66% ont utilisé le secteur immobilier, 17,5% le secteur bancaire et 14, 16 % l’import-export pour blanchir les fonds illégalement acquis.</w:t>
      </w:r>
    </w:p>
    <w:p w14:paraId="62331882" w14:textId="70904A0C" w:rsidR="00A87871" w:rsidRPr="00670FA4" w:rsidRDefault="007E13A3" w:rsidP="00DD206B">
      <w:pPr>
        <w:spacing w:line="360" w:lineRule="auto"/>
        <w:jc w:val="both"/>
        <w:rPr>
          <w:rFonts w:cs="Times New Roman"/>
          <w:sz w:val="24"/>
          <w:szCs w:val="24"/>
        </w:rPr>
      </w:pPr>
      <w:r w:rsidRPr="00114283">
        <w:rPr>
          <w:rFonts w:cs="Times New Roman"/>
          <w:sz w:val="24"/>
          <w:szCs w:val="24"/>
        </w:rPr>
        <w:t>Au regard de ce qui précède l’on peut conclure que les personnes morales sont exposées à une menace importante au BC.</w:t>
      </w:r>
    </w:p>
    <w:p w14:paraId="461FE120" w14:textId="697835DA" w:rsidR="00A87871" w:rsidRPr="00A87871" w:rsidRDefault="00A87871" w:rsidP="00A87871">
      <w:pPr>
        <w:pBdr>
          <w:top w:val="single" w:sz="4" w:space="1" w:color="auto"/>
          <w:left w:val="single" w:sz="4" w:space="4" w:color="auto"/>
          <w:bottom w:val="single" w:sz="4" w:space="1" w:color="auto"/>
          <w:right w:val="single" w:sz="4" w:space="4" w:color="auto"/>
        </w:pBdr>
        <w:shd w:val="clear" w:color="auto" w:fill="D1D1D1" w:themeFill="background2" w:themeFillShade="E6"/>
        <w:spacing w:line="360" w:lineRule="auto"/>
        <w:jc w:val="both"/>
        <w:rPr>
          <w:rFonts w:eastAsia="Times New Roman" w:cs="Times New Roman"/>
          <w:b/>
          <w:bCs/>
          <w:sz w:val="22"/>
          <w:szCs w:val="22"/>
          <w:u w:val="single"/>
        </w:rPr>
      </w:pPr>
      <w:r w:rsidRPr="00A87871">
        <w:rPr>
          <w:rFonts w:eastAsia="Times New Roman" w:cs="Times New Roman"/>
          <w:b/>
          <w:bCs/>
          <w:sz w:val="22"/>
          <w:szCs w:val="22"/>
          <w:u w:val="single"/>
        </w:rPr>
        <w:lastRenderedPageBreak/>
        <w:t xml:space="preserve">Cas </w:t>
      </w:r>
      <w:r w:rsidR="00145459">
        <w:rPr>
          <w:rFonts w:eastAsia="Times New Roman" w:cs="Times New Roman"/>
          <w:b/>
          <w:bCs/>
          <w:sz w:val="22"/>
          <w:szCs w:val="22"/>
          <w:u w:val="single"/>
        </w:rPr>
        <w:t>17</w:t>
      </w:r>
      <w:r w:rsidRPr="00A87871">
        <w:rPr>
          <w:rFonts w:eastAsia="Times New Roman" w:cs="Times New Roman"/>
          <w:b/>
          <w:bCs/>
          <w:sz w:val="22"/>
          <w:szCs w:val="22"/>
          <w:u w:val="single"/>
        </w:rPr>
        <w:t xml:space="preserve"> : Schéma de blanchiment de capitaux à travers un réseau complexe d’entreprises offshore et dissimulation de bénéficiaires effectifs</w:t>
      </w:r>
    </w:p>
    <w:p w14:paraId="500C6E61" w14:textId="77777777" w:rsidR="00A87871" w:rsidRPr="00A87871" w:rsidRDefault="00A87871" w:rsidP="00A87871">
      <w:pPr>
        <w:pBdr>
          <w:top w:val="single" w:sz="4" w:space="1" w:color="auto"/>
          <w:left w:val="single" w:sz="4" w:space="4" w:color="auto"/>
          <w:bottom w:val="single" w:sz="4" w:space="1" w:color="auto"/>
          <w:right w:val="single" w:sz="4" w:space="4" w:color="auto"/>
        </w:pBdr>
        <w:shd w:val="clear" w:color="auto" w:fill="D1D1D1" w:themeFill="background2" w:themeFillShade="E6"/>
        <w:spacing w:line="360" w:lineRule="auto"/>
        <w:jc w:val="both"/>
        <w:rPr>
          <w:rFonts w:eastAsia="Times New Roman" w:cs="Times New Roman"/>
          <w:sz w:val="22"/>
          <w:szCs w:val="22"/>
        </w:rPr>
      </w:pPr>
      <w:r w:rsidRPr="00A87871">
        <w:rPr>
          <w:rFonts w:eastAsia="Times New Roman" w:cs="Times New Roman"/>
          <w:sz w:val="22"/>
          <w:szCs w:val="22"/>
        </w:rPr>
        <w:t xml:space="preserve">La Cellule Nationale de Traitement des Informations Financières (CENTIF) a émis des soupçons quant à l’exploitation inappropriée d’entités juridiques dans une affaire significative de blanchiment de capitaux concernant des entreprises tant nationales qu’internationales. Neuf entités, y compris les entités SOCIÉTÉ A SARL et </w:t>
      </w:r>
    </w:p>
    <w:p w14:paraId="07F34C58" w14:textId="77777777" w:rsidR="00A87871" w:rsidRPr="00A87871" w:rsidRDefault="00A87871" w:rsidP="00A87871">
      <w:pPr>
        <w:pBdr>
          <w:top w:val="single" w:sz="4" w:space="1" w:color="auto"/>
          <w:left w:val="single" w:sz="4" w:space="4" w:color="auto"/>
          <w:bottom w:val="single" w:sz="4" w:space="1" w:color="auto"/>
          <w:right w:val="single" w:sz="4" w:space="4" w:color="auto"/>
        </w:pBdr>
        <w:shd w:val="clear" w:color="auto" w:fill="D1D1D1" w:themeFill="background2" w:themeFillShade="E6"/>
        <w:spacing w:line="360" w:lineRule="auto"/>
        <w:jc w:val="both"/>
        <w:rPr>
          <w:rFonts w:eastAsia="Times New Roman" w:cs="Times New Roman"/>
          <w:sz w:val="22"/>
          <w:szCs w:val="22"/>
        </w:rPr>
      </w:pPr>
      <w:r w:rsidRPr="00A87871">
        <w:rPr>
          <w:rFonts w:eastAsia="Times New Roman" w:cs="Times New Roman"/>
          <w:sz w:val="22"/>
          <w:szCs w:val="22"/>
        </w:rPr>
        <w:t>SOCIÉTÉ B SARL, ont capté l’intérêt de la CENTIF pour avoir caché l’identité de leurs bénéficiaires effectifs. Les firmes nationales possédaient un capital détenu par une entité étrangère domiciliée à l’île Maurice, dénommée SOCIÉTÉ ANONYME SL, qui s’est avérée être l’associée unique des deux SARL suite à une augmentation de capital. Monsieur Z, dirigeant de la SOCIÉTÉ ANONYME SL, administrait également une constellation d’environ 122 sociétés, parmi lesquelles certaines étaient identifiées comme des sociétés offshore.</w:t>
      </w:r>
    </w:p>
    <w:p w14:paraId="1BC47BED" w14:textId="77777777" w:rsidR="00A87871" w:rsidRPr="00A87871" w:rsidRDefault="00A87871" w:rsidP="00A87871">
      <w:pPr>
        <w:pBdr>
          <w:top w:val="single" w:sz="4" w:space="1" w:color="auto"/>
          <w:left w:val="single" w:sz="4" w:space="4" w:color="auto"/>
          <w:bottom w:val="single" w:sz="4" w:space="1" w:color="auto"/>
          <w:right w:val="single" w:sz="4" w:space="4" w:color="auto"/>
        </w:pBdr>
        <w:shd w:val="clear" w:color="auto" w:fill="D1D1D1" w:themeFill="background2" w:themeFillShade="E6"/>
        <w:spacing w:line="360" w:lineRule="auto"/>
        <w:jc w:val="both"/>
        <w:rPr>
          <w:rFonts w:eastAsia="Times New Roman" w:cs="Times New Roman"/>
          <w:sz w:val="22"/>
          <w:szCs w:val="22"/>
        </w:rPr>
      </w:pPr>
      <w:r w:rsidRPr="00A87871">
        <w:rPr>
          <w:rFonts w:eastAsia="Times New Roman" w:cs="Times New Roman"/>
          <w:sz w:val="22"/>
          <w:szCs w:val="22"/>
        </w:rPr>
        <w:t>Un conglomérat de neuf entreprises, principalement affiliées au Groupe S et dirigées par des citoyens chinois, a été constitué dans le but de masquer les véritables propriétaires. Ces sociétés comptaient parmi leurs actionnaires d’autres entités juridiques, ajoutant ainsi des niveaux supplémentaires de complexité. Elles ont procédé à l’ouverture de comptes bancaires auprès de multiples institutions financières et se sont engagées dans des opérations commerciales incluant l’achat et la revente, l’importation, la consignation et le stockage de produits manufacturés, ainsi que la transformation de fer et de ses dérivés.</w:t>
      </w:r>
    </w:p>
    <w:p w14:paraId="5BD2F02A" w14:textId="77777777" w:rsidR="00A87871" w:rsidRPr="00A87871" w:rsidRDefault="00A87871" w:rsidP="00A87871">
      <w:pPr>
        <w:pBdr>
          <w:top w:val="single" w:sz="4" w:space="1" w:color="auto"/>
          <w:left w:val="single" w:sz="4" w:space="4" w:color="auto"/>
          <w:bottom w:val="single" w:sz="4" w:space="1" w:color="auto"/>
          <w:right w:val="single" w:sz="4" w:space="4" w:color="auto"/>
        </w:pBdr>
        <w:shd w:val="clear" w:color="auto" w:fill="D1D1D1" w:themeFill="background2" w:themeFillShade="E6"/>
        <w:spacing w:line="360" w:lineRule="auto"/>
        <w:jc w:val="both"/>
        <w:rPr>
          <w:rFonts w:eastAsia="Times New Roman" w:cs="Times New Roman"/>
          <w:sz w:val="22"/>
          <w:szCs w:val="22"/>
        </w:rPr>
      </w:pPr>
      <w:r w:rsidRPr="00A87871">
        <w:rPr>
          <w:rFonts w:eastAsia="Times New Roman" w:cs="Times New Roman"/>
          <w:sz w:val="22"/>
          <w:szCs w:val="22"/>
        </w:rPr>
        <w:t xml:space="preserve">Ces firmes importaient une variété de biens qu’elles commercialisaient sur le territoire national. Elles partageaient les mêmes adresses, numéros de téléphone, fournisseurs et des catégories de marchandises analogues. L’analyse a révélé une branche économique vulnérable au blanchiment de fonds par le biais du commerce international et de biens générant des marges bénéficiaires importantes. Toutefois, une grande partie de ces structures se révélaient fictives, cessant leurs activités peu après leur établissement comme des sociétés-écrans. </w:t>
      </w:r>
    </w:p>
    <w:p w14:paraId="46545685" w14:textId="77777777" w:rsidR="00A87871" w:rsidRPr="00A87871" w:rsidRDefault="00A87871" w:rsidP="00A87871">
      <w:pPr>
        <w:pBdr>
          <w:top w:val="single" w:sz="4" w:space="1" w:color="auto"/>
          <w:left w:val="single" w:sz="4" w:space="4" w:color="auto"/>
          <w:bottom w:val="single" w:sz="4" w:space="1" w:color="auto"/>
          <w:right w:val="single" w:sz="4" w:space="4" w:color="auto"/>
        </w:pBdr>
        <w:shd w:val="clear" w:color="auto" w:fill="D1D1D1" w:themeFill="background2" w:themeFillShade="E6"/>
        <w:spacing w:line="360" w:lineRule="auto"/>
        <w:jc w:val="both"/>
        <w:rPr>
          <w:rFonts w:eastAsia="Times New Roman" w:cs="Times New Roman"/>
          <w:sz w:val="22"/>
          <w:szCs w:val="22"/>
        </w:rPr>
      </w:pPr>
      <w:r w:rsidRPr="00A87871">
        <w:rPr>
          <w:rFonts w:eastAsia="Times New Roman" w:cs="Times New Roman"/>
          <w:sz w:val="22"/>
          <w:szCs w:val="22"/>
        </w:rPr>
        <w:t>Ces entreprises transféraient les capitaux accumulés vers la Chine, le Ghana, les îles Maurice et Dubaï. Plusieurs entités étrangères se présentant comme des fournisseurs ont profité de ces flux financiers illicites. L’analyse a dévoilé l’élaboration de dispositifs de fractionnement multi-juridictionnels.</w:t>
      </w:r>
    </w:p>
    <w:p w14:paraId="2C880F4C" w14:textId="77777777" w:rsidR="00A87871" w:rsidRPr="00A87871" w:rsidRDefault="00A87871" w:rsidP="00A87871">
      <w:pPr>
        <w:pBdr>
          <w:top w:val="single" w:sz="4" w:space="1" w:color="auto"/>
          <w:left w:val="single" w:sz="4" w:space="4" w:color="auto"/>
          <w:bottom w:val="single" w:sz="4" w:space="1" w:color="auto"/>
          <w:right w:val="single" w:sz="4" w:space="4" w:color="auto"/>
        </w:pBdr>
        <w:shd w:val="clear" w:color="auto" w:fill="D1D1D1" w:themeFill="background2" w:themeFillShade="E6"/>
        <w:spacing w:line="360" w:lineRule="auto"/>
        <w:jc w:val="both"/>
        <w:rPr>
          <w:rFonts w:eastAsia="Times New Roman" w:cs="Times New Roman"/>
          <w:sz w:val="22"/>
          <w:szCs w:val="22"/>
        </w:rPr>
      </w:pPr>
      <w:r w:rsidRPr="00A87871">
        <w:rPr>
          <w:rFonts w:eastAsia="Times New Roman" w:cs="Times New Roman"/>
          <w:sz w:val="22"/>
          <w:szCs w:val="22"/>
        </w:rPr>
        <w:t xml:space="preserve">Au vu de l’importance des sommes impliquées, de la gestion inhabituelle des comptes et de la quasi-absence de déclaration des revenus aux autorités fiscales, il s’est avéré impératif d’initier des actions judiciaires pour blanchiment de capitaux, évasion fiscale et non-respect de la réglementation des échanges financiers internationaux. La somme totale blanchie atteignait 205 558 429 733 FCFA, </w:t>
      </w:r>
      <w:r w:rsidRPr="00A87871">
        <w:rPr>
          <w:rFonts w:eastAsia="Times New Roman" w:cs="Times New Roman"/>
          <w:sz w:val="22"/>
          <w:szCs w:val="22"/>
        </w:rPr>
        <w:lastRenderedPageBreak/>
        <w:t>conséquence directe d’une évasion fiscale et d’une transgression des normes financières internationales entre 2017 et 2023.</w:t>
      </w:r>
    </w:p>
    <w:p w14:paraId="61AC6DA0" w14:textId="55B96CA0" w:rsidR="00717CB7" w:rsidRPr="00AA6921" w:rsidRDefault="00717CB7" w:rsidP="00717CB7">
      <w:pPr>
        <w:tabs>
          <w:tab w:val="left" w:pos="567"/>
        </w:tabs>
        <w:spacing w:before="240" w:after="120" w:line="360" w:lineRule="auto"/>
        <w:contextualSpacing/>
        <w:jc w:val="center"/>
        <w:rPr>
          <w:rFonts w:cs="Times New Roman"/>
          <w:b/>
          <w:bCs/>
          <w:i/>
          <w:iCs/>
          <w:sz w:val="22"/>
          <w:szCs w:val="22"/>
        </w:rPr>
      </w:pPr>
      <w:r>
        <w:rPr>
          <w:rFonts w:cs="Times New Roman"/>
          <w:b/>
          <w:bCs/>
          <w:i/>
          <w:iCs/>
          <w:sz w:val="22"/>
          <w:szCs w:val="22"/>
        </w:rPr>
        <w:t>(</w:t>
      </w:r>
      <w:r w:rsidRPr="00AA6921">
        <w:rPr>
          <w:rFonts w:cs="Times New Roman"/>
          <w:b/>
          <w:bCs/>
          <w:i/>
          <w:iCs/>
          <w:sz w:val="22"/>
          <w:szCs w:val="22"/>
        </w:rPr>
        <w:t>Les autres cas concrets concernant l</w:t>
      </w:r>
      <w:r>
        <w:rPr>
          <w:rFonts w:cs="Times New Roman"/>
          <w:b/>
          <w:bCs/>
          <w:i/>
          <w:iCs/>
          <w:sz w:val="22"/>
          <w:szCs w:val="22"/>
        </w:rPr>
        <w:t xml:space="preserve">’utilisation des personnes morales </w:t>
      </w:r>
      <w:r w:rsidRPr="00AA6921">
        <w:rPr>
          <w:rFonts w:cs="Times New Roman"/>
          <w:b/>
          <w:bCs/>
          <w:i/>
          <w:iCs/>
          <w:sz w:val="22"/>
          <w:szCs w:val="22"/>
        </w:rPr>
        <w:t>sont en annexe.</w:t>
      </w:r>
      <w:r>
        <w:rPr>
          <w:rFonts w:cs="Times New Roman"/>
          <w:b/>
          <w:bCs/>
          <w:i/>
          <w:iCs/>
          <w:sz w:val="22"/>
          <w:szCs w:val="22"/>
        </w:rPr>
        <w:t>)</w:t>
      </w:r>
    </w:p>
    <w:p w14:paraId="4B2C06F4" w14:textId="77777777" w:rsidR="00A87871" w:rsidRPr="009461FB" w:rsidRDefault="00A87871" w:rsidP="00DD206B">
      <w:pPr>
        <w:spacing w:line="360" w:lineRule="auto"/>
        <w:jc w:val="both"/>
        <w:rPr>
          <w:rFonts w:cs="Times New Roman"/>
          <w:sz w:val="22"/>
          <w:szCs w:val="22"/>
        </w:rPr>
      </w:pPr>
    </w:p>
    <w:p w14:paraId="22D242F6" w14:textId="77777777" w:rsidR="00713F7E" w:rsidRPr="00A87871" w:rsidRDefault="00713F7E" w:rsidP="00DD206B">
      <w:pPr>
        <w:tabs>
          <w:tab w:val="left" w:pos="567"/>
        </w:tabs>
        <w:spacing w:before="240" w:after="120" w:line="360" w:lineRule="auto"/>
        <w:contextualSpacing/>
        <w:jc w:val="both"/>
        <w:rPr>
          <w:rFonts w:cs="Times New Roman"/>
          <w:sz w:val="22"/>
          <w:szCs w:val="22"/>
        </w:rPr>
      </w:pPr>
    </w:p>
    <w:p w14:paraId="718F06BF" w14:textId="77777777" w:rsidR="002E22F1" w:rsidRPr="002E1BBE" w:rsidRDefault="002E22F1" w:rsidP="00DD206B">
      <w:pPr>
        <w:pStyle w:val="Titre1"/>
        <w:rPr>
          <w:color w:val="45B0E1" w:themeColor="accent1" w:themeTint="99"/>
          <w:sz w:val="22"/>
        </w:rPr>
        <w:sectPr w:rsidR="002E22F1" w:rsidRPr="002E1BBE" w:rsidSect="004838E6">
          <w:pgSz w:w="11906" w:h="16838" w:code="9"/>
          <w:pgMar w:top="1440" w:right="1440" w:bottom="1134" w:left="1440" w:header="708" w:footer="708" w:gutter="0"/>
          <w:cols w:space="708"/>
          <w:docGrid w:linePitch="360"/>
        </w:sectPr>
      </w:pPr>
    </w:p>
    <w:p w14:paraId="51ABDA5D" w14:textId="7C633FD3" w:rsidR="00F33108" w:rsidRPr="009461FB" w:rsidRDefault="00942A9B" w:rsidP="00DD206B">
      <w:pPr>
        <w:pStyle w:val="Titre1"/>
        <w:rPr>
          <w:sz w:val="22"/>
        </w:rPr>
      </w:pPr>
      <w:bookmarkStart w:id="27" w:name="_Toc213326910"/>
      <w:r w:rsidRPr="009461FB">
        <w:rPr>
          <w:sz w:val="22"/>
        </w:rPr>
        <w:lastRenderedPageBreak/>
        <w:t>Conclusion</w:t>
      </w:r>
      <w:bookmarkEnd w:id="27"/>
    </w:p>
    <w:p w14:paraId="35633F4B" w14:textId="77777777" w:rsidR="00FC5A89" w:rsidRPr="009461FB" w:rsidRDefault="00FC5A89" w:rsidP="00DD206B">
      <w:pPr>
        <w:widowControl w:val="0"/>
        <w:spacing w:after="0" w:line="360" w:lineRule="auto"/>
        <w:contextualSpacing/>
        <w:jc w:val="both"/>
        <w:rPr>
          <w:rFonts w:eastAsia="Times New Roman" w:cs="Times New Roman"/>
          <w:sz w:val="22"/>
          <w:szCs w:val="22"/>
        </w:rPr>
      </w:pPr>
    </w:p>
    <w:p w14:paraId="7A45D14D" w14:textId="77777777" w:rsidR="003E5AE8" w:rsidRDefault="000176C6" w:rsidP="00DD206B">
      <w:pPr>
        <w:widowControl w:val="0"/>
        <w:spacing w:after="0" w:line="360" w:lineRule="auto"/>
        <w:contextualSpacing/>
        <w:jc w:val="both"/>
        <w:rPr>
          <w:rFonts w:eastAsia="Times New Roman" w:cs="Times New Roman"/>
          <w:sz w:val="24"/>
          <w:szCs w:val="24"/>
        </w:rPr>
      </w:pPr>
      <w:r>
        <w:rPr>
          <w:rFonts w:eastAsia="Times New Roman" w:cs="Times New Roman"/>
          <w:sz w:val="24"/>
          <w:szCs w:val="24"/>
        </w:rPr>
        <w:t>Au terme de l’analyse de la menace de BC, il ressort que</w:t>
      </w:r>
      <w:r w:rsidR="003E5AE8">
        <w:rPr>
          <w:rFonts w:eastAsia="Times New Roman" w:cs="Times New Roman"/>
          <w:sz w:val="24"/>
          <w:szCs w:val="24"/>
        </w:rPr>
        <w:t> :</w:t>
      </w:r>
    </w:p>
    <w:p w14:paraId="1D51693C" w14:textId="13650CB9" w:rsidR="001077D2" w:rsidRPr="001077D2" w:rsidRDefault="003E5AE8" w:rsidP="00DD206B">
      <w:pPr>
        <w:pStyle w:val="Paragraphedeliste"/>
        <w:widowControl w:val="0"/>
        <w:numPr>
          <w:ilvl w:val="0"/>
          <w:numId w:val="8"/>
        </w:numPr>
        <w:spacing w:after="0" w:line="360" w:lineRule="auto"/>
        <w:jc w:val="both"/>
        <w:rPr>
          <w:rFonts w:eastAsia="Times New Roman" w:cs="Times New Roman"/>
          <w:sz w:val="24"/>
          <w:szCs w:val="24"/>
        </w:rPr>
      </w:pPr>
      <w:proofErr w:type="gramStart"/>
      <w:r>
        <w:rPr>
          <w:rFonts w:eastAsia="Times New Roman" w:cs="Times New Roman"/>
          <w:sz w:val="24"/>
          <w:szCs w:val="24"/>
        </w:rPr>
        <w:t>le</w:t>
      </w:r>
      <w:proofErr w:type="gramEnd"/>
      <w:r>
        <w:rPr>
          <w:rFonts w:eastAsia="Times New Roman" w:cs="Times New Roman"/>
          <w:sz w:val="24"/>
          <w:szCs w:val="24"/>
        </w:rPr>
        <w:t xml:space="preserve"> niveau de la menace intérieure est « très élevé »</w:t>
      </w:r>
      <w:r w:rsidR="001077D2">
        <w:rPr>
          <w:rFonts w:eastAsia="Times New Roman" w:cs="Times New Roman"/>
          <w:sz w:val="24"/>
          <w:szCs w:val="24"/>
        </w:rPr>
        <w:t xml:space="preserve">. </w:t>
      </w:r>
      <w:r w:rsidR="001077D2" w:rsidRPr="001077D2">
        <w:rPr>
          <w:rFonts w:eastAsia="Times New Roman" w:cs="Times New Roman"/>
          <w:sz w:val="24"/>
          <w:szCs w:val="24"/>
        </w:rPr>
        <w:t>Cela s’explique par la récurrence des infractions que sont le trafic illicite de stupéfiant, la corruption et infractions assimilées, la cybercriminalité, la fraude fiscale et les infractions environnementales dans les dossiers des autorités d’enquête et de poursuite ;</w:t>
      </w:r>
    </w:p>
    <w:p w14:paraId="65C27BE0" w14:textId="61711FEA" w:rsidR="003E5AE8" w:rsidRPr="00A97091" w:rsidRDefault="003E5AE8" w:rsidP="00DD206B">
      <w:pPr>
        <w:pStyle w:val="Paragraphedeliste"/>
        <w:widowControl w:val="0"/>
        <w:numPr>
          <w:ilvl w:val="0"/>
          <w:numId w:val="8"/>
        </w:numPr>
        <w:spacing w:after="0" w:line="360" w:lineRule="auto"/>
        <w:jc w:val="both"/>
        <w:rPr>
          <w:rFonts w:eastAsia="Times New Roman" w:cs="Times New Roman"/>
          <w:sz w:val="24"/>
          <w:szCs w:val="24"/>
        </w:rPr>
      </w:pPr>
      <w:proofErr w:type="gramStart"/>
      <w:r w:rsidRPr="00A97091">
        <w:rPr>
          <w:rFonts w:eastAsia="Times New Roman" w:cs="Times New Roman"/>
          <w:sz w:val="24"/>
          <w:szCs w:val="24"/>
        </w:rPr>
        <w:t>le</w:t>
      </w:r>
      <w:proofErr w:type="gramEnd"/>
      <w:r w:rsidRPr="00A97091">
        <w:rPr>
          <w:rFonts w:eastAsia="Times New Roman" w:cs="Times New Roman"/>
          <w:sz w:val="24"/>
          <w:szCs w:val="24"/>
        </w:rPr>
        <w:t xml:space="preserve"> niveau de la menace extérieure est « élevé »</w:t>
      </w:r>
      <w:r w:rsidR="00A97091" w:rsidRPr="00A97091">
        <w:rPr>
          <w:rFonts w:eastAsia="Times New Roman" w:cs="Times New Roman"/>
          <w:sz w:val="24"/>
          <w:szCs w:val="24"/>
        </w:rPr>
        <w:t xml:space="preserve"> </w:t>
      </w:r>
      <w:r w:rsidR="00A97091">
        <w:rPr>
          <w:rFonts w:eastAsia="Times New Roman" w:cs="Times New Roman"/>
          <w:sz w:val="24"/>
          <w:szCs w:val="24"/>
        </w:rPr>
        <w:t>e</w:t>
      </w:r>
      <w:r w:rsidR="00A97091" w:rsidRPr="00A97091">
        <w:rPr>
          <w:rFonts w:eastAsia="Times New Roman" w:cs="Times New Roman"/>
          <w:sz w:val="24"/>
          <w:szCs w:val="24"/>
        </w:rPr>
        <w:t>n raison du nombre élevé des infractions</w:t>
      </w:r>
      <w:r w:rsidR="00A97091">
        <w:rPr>
          <w:rFonts w:eastAsia="Times New Roman" w:cs="Times New Roman"/>
          <w:sz w:val="24"/>
          <w:szCs w:val="24"/>
        </w:rPr>
        <w:t>,</w:t>
      </w:r>
      <w:r w:rsidR="00A97091" w:rsidRPr="00A97091">
        <w:rPr>
          <w:rFonts w:eastAsia="Times New Roman" w:cs="Times New Roman"/>
          <w:sz w:val="24"/>
          <w:szCs w:val="24"/>
        </w:rPr>
        <w:t xml:space="preserve"> </w:t>
      </w:r>
      <w:r w:rsidR="00A97091">
        <w:rPr>
          <w:rFonts w:eastAsia="Times New Roman" w:cs="Times New Roman"/>
          <w:sz w:val="24"/>
          <w:szCs w:val="24"/>
        </w:rPr>
        <w:t>à</w:t>
      </w:r>
      <w:r w:rsidR="00A97091" w:rsidRPr="00A97091">
        <w:rPr>
          <w:rFonts w:eastAsia="Times New Roman" w:cs="Times New Roman"/>
          <w:sz w:val="24"/>
          <w:szCs w:val="24"/>
        </w:rPr>
        <w:t xml:space="preserve"> savoir le trafic illicite de stupéfiant, la cybercriminalité, la fraude fiscale, le vol de véhicule, l</w:t>
      </w:r>
      <w:r w:rsidR="005D72A8">
        <w:rPr>
          <w:rFonts w:eastAsia="Times New Roman" w:cs="Times New Roman"/>
          <w:sz w:val="24"/>
          <w:szCs w:val="24"/>
        </w:rPr>
        <w:t>a</w:t>
      </w:r>
      <w:r w:rsidR="00A97091" w:rsidRPr="00A97091">
        <w:rPr>
          <w:rFonts w:eastAsia="Times New Roman" w:cs="Times New Roman"/>
          <w:sz w:val="24"/>
          <w:szCs w:val="24"/>
        </w:rPr>
        <w:t xml:space="preserve"> </w:t>
      </w:r>
      <w:r w:rsidR="00A97091">
        <w:rPr>
          <w:rFonts w:eastAsia="Times New Roman" w:cs="Times New Roman"/>
          <w:sz w:val="24"/>
          <w:szCs w:val="24"/>
        </w:rPr>
        <w:t>f</w:t>
      </w:r>
      <w:r w:rsidR="00A97091" w:rsidRPr="00A97091">
        <w:rPr>
          <w:rFonts w:eastAsia="Times New Roman" w:cs="Times New Roman"/>
          <w:sz w:val="24"/>
          <w:szCs w:val="24"/>
        </w:rPr>
        <w:t>raude, faux et usage de faux, escroquerie</w:t>
      </w:r>
      <w:r w:rsidR="00A97091">
        <w:rPr>
          <w:rFonts w:eastAsia="Times New Roman" w:cs="Times New Roman"/>
          <w:sz w:val="24"/>
          <w:szCs w:val="24"/>
        </w:rPr>
        <w:t xml:space="preserve"> et</w:t>
      </w:r>
      <w:r w:rsidR="00A97091" w:rsidRPr="00A97091">
        <w:rPr>
          <w:rFonts w:eastAsia="Times New Roman" w:cs="Times New Roman"/>
          <w:sz w:val="24"/>
          <w:szCs w:val="24"/>
        </w:rPr>
        <w:t xml:space="preserve"> abus de confiance</w:t>
      </w:r>
      <w:r w:rsidR="00A97091">
        <w:rPr>
          <w:rFonts w:eastAsia="Times New Roman" w:cs="Times New Roman"/>
          <w:sz w:val="24"/>
          <w:szCs w:val="24"/>
        </w:rPr>
        <w:t xml:space="preserve"> dans les demandes de coopération internationale ;</w:t>
      </w:r>
    </w:p>
    <w:p w14:paraId="3413C274" w14:textId="257E87A1" w:rsidR="003E5AE8" w:rsidRPr="00A97091" w:rsidRDefault="003E5AE8" w:rsidP="00DD206B">
      <w:pPr>
        <w:pStyle w:val="Paragraphedeliste"/>
        <w:widowControl w:val="0"/>
        <w:numPr>
          <w:ilvl w:val="0"/>
          <w:numId w:val="8"/>
        </w:numPr>
        <w:spacing w:after="0" w:line="360" w:lineRule="auto"/>
        <w:jc w:val="both"/>
        <w:rPr>
          <w:rFonts w:eastAsia="Times New Roman" w:cs="Times New Roman"/>
          <w:sz w:val="24"/>
          <w:szCs w:val="24"/>
        </w:rPr>
      </w:pPr>
      <w:proofErr w:type="gramStart"/>
      <w:r>
        <w:rPr>
          <w:rFonts w:eastAsia="Times New Roman" w:cs="Times New Roman"/>
          <w:sz w:val="24"/>
          <w:szCs w:val="24"/>
        </w:rPr>
        <w:t>le</w:t>
      </w:r>
      <w:proofErr w:type="gramEnd"/>
      <w:r>
        <w:rPr>
          <w:rFonts w:eastAsia="Times New Roman" w:cs="Times New Roman"/>
          <w:sz w:val="24"/>
          <w:szCs w:val="24"/>
        </w:rPr>
        <w:t xml:space="preserve"> niveau de la menace de BC dit autonome est « faible »</w:t>
      </w:r>
      <w:r w:rsidR="004A4D16">
        <w:rPr>
          <w:rFonts w:eastAsia="Times New Roman" w:cs="Times New Roman"/>
          <w:sz w:val="24"/>
          <w:szCs w:val="24"/>
        </w:rPr>
        <w:t>. En effet, le BC dit autonome</w:t>
      </w:r>
      <w:r w:rsidR="00A97091">
        <w:rPr>
          <w:rFonts w:eastAsia="Times New Roman" w:cs="Times New Roman"/>
          <w:sz w:val="24"/>
          <w:szCs w:val="24"/>
        </w:rPr>
        <w:t xml:space="preserve"> </w:t>
      </w:r>
      <w:r w:rsidR="00A97091" w:rsidRPr="00114283">
        <w:rPr>
          <w:sz w:val="24"/>
          <w:szCs w:val="24"/>
        </w:rPr>
        <w:t>n’avait pas été identifié</w:t>
      </w:r>
      <w:r w:rsidR="004A4D16">
        <w:rPr>
          <w:sz w:val="24"/>
          <w:szCs w:val="24"/>
        </w:rPr>
        <w:t xml:space="preserve"> dans l’ENR de 2018 - 2019. A ce jour, quelques cas ont été identifiés mais leur nombre n’est pas significatif</w:t>
      </w:r>
      <w:r w:rsidR="004A4D16" w:rsidRPr="00A97091">
        <w:rPr>
          <w:rFonts w:eastAsia="Times New Roman" w:cs="Times New Roman"/>
          <w:sz w:val="24"/>
          <w:szCs w:val="24"/>
        </w:rPr>
        <w:t xml:space="preserve"> ;</w:t>
      </w:r>
    </w:p>
    <w:p w14:paraId="18F3F31F" w14:textId="142B9D75" w:rsidR="008C78F2" w:rsidRDefault="00C31167" w:rsidP="00DD206B">
      <w:pPr>
        <w:pStyle w:val="Paragraphedeliste"/>
        <w:widowControl w:val="0"/>
        <w:numPr>
          <w:ilvl w:val="0"/>
          <w:numId w:val="8"/>
        </w:numPr>
        <w:spacing w:after="0" w:line="360" w:lineRule="auto"/>
        <w:jc w:val="both"/>
        <w:rPr>
          <w:rFonts w:eastAsia="Times New Roman" w:cs="Times New Roman"/>
          <w:sz w:val="24"/>
          <w:szCs w:val="24"/>
        </w:rPr>
        <w:sectPr w:rsidR="008C78F2" w:rsidSect="004838E6">
          <w:pgSz w:w="11906" w:h="16838" w:code="9"/>
          <w:pgMar w:top="1440" w:right="1440" w:bottom="1134" w:left="1440" w:header="708" w:footer="708" w:gutter="0"/>
          <w:cols w:space="708"/>
          <w:docGrid w:linePitch="360"/>
        </w:sectPr>
      </w:pPr>
      <w:r>
        <w:rPr>
          <w:rFonts w:eastAsia="Times New Roman" w:cs="Times New Roman"/>
          <w:sz w:val="24"/>
          <w:szCs w:val="24"/>
        </w:rPr>
        <w:t xml:space="preserve">Les principaux secteurs et les personnes morales analysés continuent d’être utilisés comme des canaux de BC. </w:t>
      </w:r>
      <w:r w:rsidR="004A4D16">
        <w:rPr>
          <w:rFonts w:eastAsia="Times New Roman" w:cs="Times New Roman"/>
          <w:sz w:val="24"/>
          <w:szCs w:val="24"/>
        </w:rPr>
        <w:t>En fait,</w:t>
      </w:r>
      <w:r w:rsidR="004A4D16" w:rsidRPr="004A4D16">
        <w:rPr>
          <w:rFonts w:eastAsia="Times New Roman" w:cs="Times New Roman"/>
          <w:sz w:val="24"/>
          <w:szCs w:val="24"/>
        </w:rPr>
        <w:t xml:space="preserve"> </w:t>
      </w:r>
      <w:r w:rsidR="002B07EE" w:rsidRPr="004A4D16">
        <w:rPr>
          <w:rFonts w:eastAsia="Times New Roman" w:cs="Times New Roman"/>
          <w:sz w:val="24"/>
          <w:szCs w:val="24"/>
        </w:rPr>
        <w:t>les criminels</w:t>
      </w:r>
      <w:r w:rsidR="002B07EE">
        <w:rPr>
          <w:rFonts w:eastAsia="Times New Roman" w:cs="Times New Roman"/>
          <w:sz w:val="24"/>
          <w:szCs w:val="24"/>
        </w:rPr>
        <w:t xml:space="preserve"> financiers exploitent toujours le secteur </w:t>
      </w:r>
      <w:r w:rsidR="004A4D16" w:rsidRPr="004A4D16">
        <w:rPr>
          <w:rFonts w:eastAsia="Times New Roman" w:cs="Times New Roman"/>
          <w:sz w:val="24"/>
          <w:szCs w:val="24"/>
        </w:rPr>
        <w:t xml:space="preserve">bancaire. </w:t>
      </w:r>
      <w:r w:rsidR="00E80A44">
        <w:rPr>
          <w:rFonts w:eastAsia="Times New Roman" w:cs="Times New Roman"/>
          <w:sz w:val="24"/>
          <w:szCs w:val="24"/>
        </w:rPr>
        <w:t>Plusieurs</w:t>
      </w:r>
      <w:r w:rsidR="004A4D16" w:rsidRPr="004A4D16">
        <w:rPr>
          <w:rFonts w:eastAsia="Times New Roman" w:cs="Times New Roman"/>
          <w:sz w:val="24"/>
          <w:szCs w:val="24"/>
        </w:rPr>
        <w:t xml:space="preserve"> cas ont aussi démontré des abus </w:t>
      </w:r>
      <w:r w:rsidR="002B07EE">
        <w:rPr>
          <w:rFonts w:eastAsia="Times New Roman" w:cs="Times New Roman"/>
          <w:sz w:val="24"/>
          <w:szCs w:val="24"/>
        </w:rPr>
        <w:t>du secteur</w:t>
      </w:r>
      <w:r w:rsidR="004A4D16" w:rsidRPr="004A4D16">
        <w:rPr>
          <w:rFonts w:eastAsia="Times New Roman" w:cs="Times New Roman"/>
          <w:sz w:val="24"/>
          <w:szCs w:val="24"/>
        </w:rPr>
        <w:t xml:space="preserve"> de l’immobilier, des professions juridiques</w:t>
      </w:r>
      <w:r w:rsidR="002B07EE">
        <w:rPr>
          <w:rFonts w:eastAsia="Times New Roman" w:cs="Times New Roman"/>
          <w:sz w:val="24"/>
          <w:szCs w:val="24"/>
        </w:rPr>
        <w:t>,</w:t>
      </w:r>
      <w:r w:rsidR="004A4D16" w:rsidRPr="004A4D16">
        <w:rPr>
          <w:rFonts w:eastAsia="Times New Roman" w:cs="Times New Roman"/>
          <w:sz w:val="24"/>
          <w:szCs w:val="24"/>
        </w:rPr>
        <w:t xml:space="preserve"> o</w:t>
      </w:r>
      <w:r w:rsidR="002B07EE">
        <w:rPr>
          <w:rFonts w:eastAsia="Times New Roman" w:cs="Times New Roman"/>
          <w:sz w:val="24"/>
          <w:szCs w:val="24"/>
        </w:rPr>
        <w:t>ù</w:t>
      </w:r>
      <w:r w:rsidR="004A4D16" w:rsidRPr="004A4D16">
        <w:rPr>
          <w:rFonts w:eastAsia="Times New Roman" w:cs="Times New Roman"/>
          <w:sz w:val="24"/>
          <w:szCs w:val="24"/>
        </w:rPr>
        <w:t xml:space="preserve"> </w:t>
      </w:r>
      <w:r w:rsidR="00E80A44">
        <w:rPr>
          <w:rFonts w:eastAsia="Times New Roman" w:cs="Times New Roman"/>
          <w:sz w:val="24"/>
          <w:szCs w:val="24"/>
        </w:rPr>
        <w:t>d’importantes</w:t>
      </w:r>
      <w:r w:rsidR="004A4D16" w:rsidRPr="004A4D16">
        <w:rPr>
          <w:rFonts w:eastAsia="Times New Roman" w:cs="Times New Roman"/>
          <w:sz w:val="24"/>
          <w:szCs w:val="24"/>
        </w:rPr>
        <w:t xml:space="preserve"> transactions en espèces sont </w:t>
      </w:r>
      <w:r w:rsidR="00E80A44">
        <w:rPr>
          <w:rFonts w:eastAsia="Times New Roman" w:cs="Times New Roman"/>
          <w:sz w:val="24"/>
          <w:szCs w:val="24"/>
        </w:rPr>
        <w:t>effectuées</w:t>
      </w:r>
      <w:r w:rsidR="004A4D16" w:rsidRPr="004A4D16">
        <w:rPr>
          <w:rFonts w:eastAsia="Times New Roman" w:cs="Times New Roman"/>
          <w:sz w:val="24"/>
          <w:szCs w:val="24"/>
        </w:rPr>
        <w:t xml:space="preserve"> ainsi que des dépôts sur des comptes bancaires personnels afin de diminuer les revenus fiscaux des sociétés. Dans certains cas, il y a eu utilisation de sociétés écrans, c’est-à-dire des structures simples, qui n’exercent pas les activités conformément à l’objet social déclaré ainsi que quelques cas d’abus de personnes morales de structures plus complexes avec propriété étrangère.   </w:t>
      </w:r>
    </w:p>
    <w:p w14:paraId="1B04CABA" w14:textId="1A0E7E5A" w:rsidR="00F12E08" w:rsidRPr="00142AB5" w:rsidRDefault="008C78F2" w:rsidP="00DD206B">
      <w:pPr>
        <w:tabs>
          <w:tab w:val="left" w:pos="567"/>
        </w:tabs>
        <w:spacing w:before="240" w:after="120" w:line="360" w:lineRule="auto"/>
        <w:jc w:val="both"/>
        <w:rPr>
          <w:rFonts w:cs="Times New Roman"/>
          <w:b/>
          <w:bCs/>
          <w:sz w:val="22"/>
          <w:szCs w:val="22"/>
          <w:u w:val="single"/>
        </w:rPr>
      </w:pPr>
      <w:r w:rsidRPr="00142AB5">
        <w:rPr>
          <w:rFonts w:cs="Times New Roman"/>
          <w:b/>
          <w:bCs/>
          <w:sz w:val="22"/>
          <w:szCs w:val="22"/>
          <w:u w:val="single"/>
        </w:rPr>
        <w:lastRenderedPageBreak/>
        <w:t>TABLEAU RECAPITULATIF</w:t>
      </w:r>
    </w:p>
    <w:p w14:paraId="4DF99097" w14:textId="77777777" w:rsidR="00F12E08" w:rsidRPr="00142AB5" w:rsidRDefault="00F12E08" w:rsidP="00DD206B">
      <w:pPr>
        <w:widowControl w:val="0"/>
        <w:spacing w:after="0" w:line="360" w:lineRule="auto"/>
        <w:contextualSpacing/>
        <w:jc w:val="both"/>
        <w:rPr>
          <w:rFonts w:eastAsia="Times New Roman" w:cs="Times New Roman"/>
          <w:color w:val="000000"/>
          <w:sz w:val="22"/>
          <w:szCs w:val="22"/>
        </w:rPr>
      </w:pPr>
    </w:p>
    <w:tbl>
      <w:tblPr>
        <w:tblW w:w="10260" w:type="dxa"/>
        <w:tblInd w:w="-709" w:type="dxa"/>
        <w:tblCellMar>
          <w:left w:w="70" w:type="dxa"/>
          <w:right w:w="70" w:type="dxa"/>
        </w:tblCellMar>
        <w:tblLook w:val="04A0" w:firstRow="1" w:lastRow="0" w:firstColumn="1" w:lastColumn="0" w:noHBand="0" w:noVBand="1"/>
      </w:tblPr>
      <w:tblGrid>
        <w:gridCol w:w="2080"/>
        <w:gridCol w:w="4020"/>
        <w:gridCol w:w="2020"/>
        <w:gridCol w:w="2140"/>
      </w:tblGrid>
      <w:tr w:rsidR="00F12E08" w:rsidRPr="00142AB5" w14:paraId="0EED28E7" w14:textId="77777777" w:rsidTr="00AF50E3">
        <w:trPr>
          <w:trHeight w:val="315"/>
        </w:trPr>
        <w:tc>
          <w:tcPr>
            <w:tcW w:w="2080" w:type="dxa"/>
            <w:tcBorders>
              <w:top w:val="nil"/>
              <w:left w:val="nil"/>
              <w:bottom w:val="nil"/>
              <w:right w:val="nil"/>
            </w:tcBorders>
            <w:noWrap/>
            <w:vAlign w:val="bottom"/>
            <w:hideMark/>
          </w:tcPr>
          <w:p w14:paraId="7451E415" w14:textId="77777777" w:rsidR="00F12E08" w:rsidRPr="00142AB5" w:rsidRDefault="00F12E08" w:rsidP="00DD206B">
            <w:pPr>
              <w:spacing w:after="0" w:line="360" w:lineRule="auto"/>
              <w:jc w:val="both"/>
              <w:rPr>
                <w:rFonts w:eastAsia="Times New Roman" w:cs="Times New Roman"/>
                <w:sz w:val="22"/>
                <w:szCs w:val="22"/>
                <w:lang w:eastAsia="fr-FR"/>
              </w:rPr>
            </w:pPr>
          </w:p>
        </w:tc>
        <w:tc>
          <w:tcPr>
            <w:tcW w:w="4020" w:type="dxa"/>
            <w:tcBorders>
              <w:top w:val="single" w:sz="8" w:space="0" w:color="auto"/>
              <w:left w:val="single" w:sz="8" w:space="0" w:color="auto"/>
              <w:bottom w:val="nil"/>
              <w:right w:val="single" w:sz="4" w:space="0" w:color="auto"/>
            </w:tcBorders>
            <w:shd w:val="clear" w:color="auto" w:fill="F6C5AC" w:themeFill="accent2" w:themeFillTint="66"/>
            <w:noWrap/>
            <w:vAlign w:val="center"/>
            <w:hideMark/>
          </w:tcPr>
          <w:p w14:paraId="04A7E00F" w14:textId="29F5387A" w:rsidR="00F12E08" w:rsidRPr="00142AB5" w:rsidRDefault="00F12E08"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Infractions sous-jacentes</w:t>
            </w:r>
          </w:p>
        </w:tc>
        <w:tc>
          <w:tcPr>
            <w:tcW w:w="2020" w:type="dxa"/>
            <w:tcBorders>
              <w:top w:val="single" w:sz="8" w:space="0" w:color="auto"/>
              <w:left w:val="nil"/>
              <w:bottom w:val="nil"/>
              <w:right w:val="single" w:sz="4" w:space="0" w:color="auto"/>
            </w:tcBorders>
            <w:shd w:val="clear" w:color="auto" w:fill="F6C5AC" w:themeFill="accent2" w:themeFillTint="66"/>
            <w:noWrap/>
            <w:vAlign w:val="center"/>
            <w:hideMark/>
          </w:tcPr>
          <w:p w14:paraId="374B5E9D" w14:textId="01F45F90" w:rsidR="00F12E08" w:rsidRPr="00142AB5" w:rsidRDefault="00F12E08"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Niveaux</w:t>
            </w:r>
            <w:r w:rsidR="005D72A8" w:rsidRPr="00142AB5">
              <w:rPr>
                <w:rFonts w:eastAsia="Times New Roman" w:cs="Times New Roman"/>
                <w:color w:val="000000"/>
                <w:sz w:val="22"/>
                <w:szCs w:val="22"/>
                <w:lang w:eastAsia="fr-FR"/>
              </w:rPr>
              <w:t xml:space="preserve"> de menaces</w:t>
            </w:r>
          </w:p>
        </w:tc>
        <w:tc>
          <w:tcPr>
            <w:tcW w:w="2140" w:type="dxa"/>
            <w:tcBorders>
              <w:top w:val="single" w:sz="8" w:space="0" w:color="auto"/>
              <w:left w:val="nil"/>
              <w:bottom w:val="nil"/>
              <w:right w:val="single" w:sz="8" w:space="0" w:color="auto"/>
            </w:tcBorders>
            <w:shd w:val="clear" w:color="auto" w:fill="F6C5AC" w:themeFill="accent2" w:themeFillTint="66"/>
            <w:noWrap/>
            <w:vAlign w:val="center"/>
            <w:hideMark/>
          </w:tcPr>
          <w:p w14:paraId="61798B98" w14:textId="4A13E6FA" w:rsidR="00F12E08" w:rsidRPr="00142AB5" w:rsidRDefault="00F12E08"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 xml:space="preserve">Niveau </w:t>
            </w:r>
            <w:r w:rsidR="00122C05" w:rsidRPr="00142AB5">
              <w:rPr>
                <w:rFonts w:eastAsia="Times New Roman" w:cs="Times New Roman"/>
                <w:color w:val="000000"/>
                <w:sz w:val="22"/>
                <w:szCs w:val="22"/>
                <w:lang w:eastAsia="fr-FR"/>
              </w:rPr>
              <w:t>g</w:t>
            </w:r>
            <w:r w:rsidRPr="00142AB5">
              <w:rPr>
                <w:rFonts w:eastAsia="Times New Roman" w:cs="Times New Roman"/>
                <w:color w:val="000000"/>
                <w:sz w:val="22"/>
                <w:szCs w:val="22"/>
                <w:lang w:eastAsia="fr-FR"/>
              </w:rPr>
              <w:t>lobal</w:t>
            </w:r>
          </w:p>
        </w:tc>
      </w:tr>
      <w:tr w:rsidR="00F12E08" w:rsidRPr="00142AB5" w14:paraId="4AC27DDA" w14:textId="77777777" w:rsidTr="00AF50E3">
        <w:trPr>
          <w:trHeight w:val="300"/>
        </w:trPr>
        <w:tc>
          <w:tcPr>
            <w:tcW w:w="2080" w:type="dxa"/>
            <w:vMerge w:val="restart"/>
            <w:tcBorders>
              <w:top w:val="single" w:sz="8" w:space="0" w:color="auto"/>
              <w:left w:val="single" w:sz="8" w:space="0" w:color="auto"/>
              <w:bottom w:val="single" w:sz="4" w:space="0" w:color="auto"/>
              <w:right w:val="single" w:sz="4" w:space="0" w:color="auto"/>
            </w:tcBorders>
            <w:shd w:val="clear" w:color="auto" w:fill="A5C9EB" w:themeFill="text2" w:themeFillTint="40"/>
            <w:noWrap/>
            <w:vAlign w:val="center"/>
            <w:hideMark/>
          </w:tcPr>
          <w:p w14:paraId="3B46E1DC" w14:textId="3A7E7A83" w:rsidR="00F12E08" w:rsidRPr="00142AB5" w:rsidRDefault="008C78F2" w:rsidP="00DD206B">
            <w:pPr>
              <w:spacing w:after="0" w:line="360" w:lineRule="auto"/>
              <w:jc w:val="both"/>
              <w:rPr>
                <w:rFonts w:eastAsia="Times New Roman" w:cs="Times New Roman"/>
                <w:color w:val="000000"/>
                <w:sz w:val="22"/>
                <w:szCs w:val="22"/>
                <w:lang w:eastAsia="fr-FR"/>
              </w:rPr>
            </w:pPr>
            <w:bookmarkStart w:id="28" w:name="_Hlk206596481"/>
            <w:r w:rsidRPr="00142AB5">
              <w:rPr>
                <w:rFonts w:eastAsia="Times New Roman" w:cs="Times New Roman"/>
                <w:color w:val="000000"/>
                <w:sz w:val="22"/>
                <w:szCs w:val="22"/>
                <w:lang w:eastAsia="fr-FR"/>
              </w:rPr>
              <w:t>M</w:t>
            </w:r>
            <w:r w:rsidR="00F12E08" w:rsidRPr="00142AB5">
              <w:rPr>
                <w:rFonts w:eastAsia="Times New Roman" w:cs="Times New Roman"/>
                <w:color w:val="000000"/>
                <w:sz w:val="22"/>
                <w:szCs w:val="22"/>
                <w:lang w:eastAsia="fr-FR"/>
              </w:rPr>
              <w:t>enace intérieure</w:t>
            </w:r>
          </w:p>
        </w:tc>
        <w:tc>
          <w:tcPr>
            <w:tcW w:w="4020" w:type="dxa"/>
            <w:tcBorders>
              <w:top w:val="single" w:sz="8" w:space="0" w:color="auto"/>
              <w:left w:val="nil"/>
              <w:bottom w:val="single" w:sz="4" w:space="0" w:color="auto"/>
              <w:right w:val="single" w:sz="4" w:space="0" w:color="auto"/>
            </w:tcBorders>
            <w:vAlign w:val="bottom"/>
            <w:hideMark/>
          </w:tcPr>
          <w:p w14:paraId="29539AC0" w14:textId="6DE1AE7A" w:rsidR="00F12E08" w:rsidRPr="00142AB5" w:rsidRDefault="00F12E08"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 xml:space="preserve">Trafic illicite </w:t>
            </w:r>
            <w:r w:rsidR="001077D2" w:rsidRPr="00142AB5">
              <w:rPr>
                <w:rFonts w:eastAsia="Times New Roman" w:cs="Times New Roman"/>
                <w:color w:val="000000"/>
                <w:sz w:val="22"/>
                <w:szCs w:val="22"/>
                <w:lang w:eastAsia="fr-FR"/>
              </w:rPr>
              <w:t>de stupéfiant</w:t>
            </w:r>
            <w:r w:rsidR="008C78F2" w:rsidRPr="00142AB5">
              <w:rPr>
                <w:rFonts w:eastAsia="Times New Roman" w:cs="Times New Roman"/>
                <w:color w:val="000000"/>
                <w:sz w:val="22"/>
                <w:szCs w:val="22"/>
                <w:lang w:eastAsia="fr-FR"/>
              </w:rPr>
              <w:t>s</w:t>
            </w:r>
          </w:p>
        </w:tc>
        <w:tc>
          <w:tcPr>
            <w:tcW w:w="2020" w:type="dxa"/>
            <w:tcBorders>
              <w:top w:val="single" w:sz="8" w:space="0" w:color="auto"/>
              <w:left w:val="nil"/>
              <w:bottom w:val="single" w:sz="4" w:space="0" w:color="auto"/>
              <w:right w:val="single" w:sz="4" w:space="0" w:color="auto"/>
            </w:tcBorders>
            <w:noWrap/>
            <w:vAlign w:val="center"/>
            <w:hideMark/>
          </w:tcPr>
          <w:p w14:paraId="07648BD3" w14:textId="26EF77BB" w:rsidR="00F12E08" w:rsidRPr="00142AB5" w:rsidRDefault="00F12E08" w:rsidP="00DD206B">
            <w:pPr>
              <w:spacing w:after="0" w:line="360" w:lineRule="auto"/>
              <w:jc w:val="both"/>
              <w:rPr>
                <w:rFonts w:eastAsia="Times New Roman" w:cs="Times New Roman"/>
                <w:color w:val="000000"/>
                <w:sz w:val="22"/>
                <w:szCs w:val="22"/>
                <w:lang w:eastAsia="fr-FR"/>
              </w:rPr>
            </w:pPr>
            <w:proofErr w:type="gramStart"/>
            <w:r w:rsidRPr="00142AB5">
              <w:rPr>
                <w:rFonts w:eastAsia="Times New Roman" w:cs="Times New Roman"/>
                <w:color w:val="000000"/>
                <w:sz w:val="22"/>
                <w:szCs w:val="22"/>
                <w:lang w:eastAsia="fr-FR"/>
              </w:rPr>
              <w:t>très</w:t>
            </w:r>
            <w:proofErr w:type="gramEnd"/>
            <w:r w:rsidRPr="00142AB5">
              <w:rPr>
                <w:rFonts w:eastAsia="Times New Roman" w:cs="Times New Roman"/>
                <w:color w:val="000000"/>
                <w:sz w:val="22"/>
                <w:szCs w:val="22"/>
                <w:lang w:eastAsia="fr-FR"/>
              </w:rPr>
              <w:t xml:space="preserve"> élevé</w:t>
            </w:r>
          </w:p>
        </w:tc>
        <w:tc>
          <w:tcPr>
            <w:tcW w:w="2140" w:type="dxa"/>
            <w:vMerge w:val="restart"/>
            <w:tcBorders>
              <w:top w:val="single" w:sz="8" w:space="0" w:color="auto"/>
              <w:left w:val="single" w:sz="4" w:space="0" w:color="auto"/>
              <w:bottom w:val="single" w:sz="4" w:space="0" w:color="auto"/>
              <w:right w:val="single" w:sz="8" w:space="0" w:color="auto"/>
            </w:tcBorders>
            <w:noWrap/>
            <w:vAlign w:val="center"/>
            <w:hideMark/>
          </w:tcPr>
          <w:p w14:paraId="3754C97C" w14:textId="10CC4F7C" w:rsidR="00F12E08" w:rsidRPr="00142AB5" w:rsidRDefault="00F12E08" w:rsidP="00DD206B">
            <w:pPr>
              <w:spacing w:after="0" w:line="360" w:lineRule="auto"/>
              <w:jc w:val="both"/>
              <w:rPr>
                <w:rFonts w:eastAsia="Times New Roman" w:cs="Times New Roman"/>
                <w:color w:val="000000"/>
                <w:sz w:val="22"/>
                <w:szCs w:val="22"/>
                <w:lang w:eastAsia="fr-FR"/>
              </w:rPr>
            </w:pPr>
            <w:proofErr w:type="gramStart"/>
            <w:r w:rsidRPr="00142AB5">
              <w:rPr>
                <w:rFonts w:eastAsia="Times New Roman" w:cs="Times New Roman"/>
                <w:color w:val="000000"/>
                <w:sz w:val="22"/>
                <w:szCs w:val="22"/>
                <w:lang w:eastAsia="fr-FR"/>
              </w:rPr>
              <w:t>très</w:t>
            </w:r>
            <w:proofErr w:type="gramEnd"/>
            <w:r w:rsidRPr="00142AB5">
              <w:rPr>
                <w:rFonts w:eastAsia="Times New Roman" w:cs="Times New Roman"/>
                <w:color w:val="000000"/>
                <w:sz w:val="22"/>
                <w:szCs w:val="22"/>
                <w:lang w:eastAsia="fr-FR"/>
              </w:rPr>
              <w:t xml:space="preserve"> élevé</w:t>
            </w:r>
          </w:p>
        </w:tc>
      </w:tr>
      <w:tr w:rsidR="00F12E08" w:rsidRPr="00142AB5" w14:paraId="64E6B4B6" w14:textId="77777777" w:rsidTr="00AF50E3">
        <w:trPr>
          <w:trHeight w:val="300"/>
        </w:trPr>
        <w:tc>
          <w:tcPr>
            <w:tcW w:w="2080" w:type="dxa"/>
            <w:vMerge/>
            <w:tcBorders>
              <w:top w:val="single" w:sz="8" w:space="0" w:color="auto"/>
              <w:left w:val="single" w:sz="8" w:space="0" w:color="auto"/>
              <w:bottom w:val="single" w:sz="4" w:space="0" w:color="auto"/>
              <w:right w:val="single" w:sz="4" w:space="0" w:color="auto"/>
            </w:tcBorders>
            <w:shd w:val="clear" w:color="auto" w:fill="A5C9EB" w:themeFill="text2" w:themeFillTint="40"/>
            <w:vAlign w:val="center"/>
            <w:hideMark/>
          </w:tcPr>
          <w:p w14:paraId="2262EBF0"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c>
          <w:tcPr>
            <w:tcW w:w="4020" w:type="dxa"/>
            <w:tcBorders>
              <w:top w:val="nil"/>
              <w:left w:val="nil"/>
              <w:bottom w:val="single" w:sz="4" w:space="0" w:color="auto"/>
              <w:right w:val="single" w:sz="4" w:space="0" w:color="auto"/>
            </w:tcBorders>
            <w:vAlign w:val="bottom"/>
            <w:hideMark/>
          </w:tcPr>
          <w:p w14:paraId="48022490" w14:textId="61BBC13A" w:rsidR="00F12E08" w:rsidRPr="00142AB5" w:rsidRDefault="00F12E08"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 xml:space="preserve">Corruption </w:t>
            </w:r>
            <w:r w:rsidR="001077D2" w:rsidRPr="00142AB5">
              <w:rPr>
                <w:rFonts w:eastAsia="Times New Roman" w:cs="Times New Roman"/>
                <w:color w:val="000000"/>
                <w:sz w:val="22"/>
                <w:szCs w:val="22"/>
                <w:lang w:eastAsia="fr-FR"/>
              </w:rPr>
              <w:t>et infractions assimilées</w:t>
            </w:r>
          </w:p>
        </w:tc>
        <w:tc>
          <w:tcPr>
            <w:tcW w:w="2020" w:type="dxa"/>
            <w:tcBorders>
              <w:top w:val="nil"/>
              <w:left w:val="nil"/>
              <w:bottom w:val="single" w:sz="4" w:space="0" w:color="auto"/>
              <w:right w:val="single" w:sz="4" w:space="0" w:color="auto"/>
            </w:tcBorders>
            <w:noWrap/>
            <w:vAlign w:val="center"/>
            <w:hideMark/>
          </w:tcPr>
          <w:p w14:paraId="15418201" w14:textId="2BB8A0BF" w:rsidR="00F12E08" w:rsidRPr="00142AB5" w:rsidRDefault="00F12E08" w:rsidP="00DD206B">
            <w:pPr>
              <w:spacing w:after="0" w:line="360" w:lineRule="auto"/>
              <w:jc w:val="both"/>
              <w:rPr>
                <w:rFonts w:eastAsia="Times New Roman" w:cs="Times New Roman"/>
                <w:color w:val="000000"/>
                <w:sz w:val="22"/>
                <w:szCs w:val="22"/>
                <w:lang w:eastAsia="fr-FR"/>
              </w:rPr>
            </w:pPr>
            <w:proofErr w:type="gramStart"/>
            <w:r w:rsidRPr="00142AB5">
              <w:rPr>
                <w:rFonts w:eastAsia="Times New Roman" w:cs="Times New Roman"/>
                <w:color w:val="000000"/>
                <w:sz w:val="22"/>
                <w:szCs w:val="22"/>
                <w:lang w:eastAsia="fr-FR"/>
              </w:rPr>
              <w:t>très</w:t>
            </w:r>
            <w:proofErr w:type="gramEnd"/>
            <w:r w:rsidRPr="00142AB5">
              <w:rPr>
                <w:rFonts w:eastAsia="Times New Roman" w:cs="Times New Roman"/>
                <w:color w:val="000000"/>
                <w:sz w:val="22"/>
                <w:szCs w:val="22"/>
                <w:lang w:eastAsia="fr-FR"/>
              </w:rPr>
              <w:t xml:space="preserve"> élevé</w:t>
            </w:r>
          </w:p>
        </w:tc>
        <w:tc>
          <w:tcPr>
            <w:tcW w:w="2140" w:type="dxa"/>
            <w:vMerge/>
            <w:tcBorders>
              <w:top w:val="single" w:sz="8" w:space="0" w:color="auto"/>
              <w:left w:val="single" w:sz="4" w:space="0" w:color="auto"/>
              <w:bottom w:val="single" w:sz="4" w:space="0" w:color="auto"/>
              <w:right w:val="single" w:sz="8" w:space="0" w:color="auto"/>
            </w:tcBorders>
            <w:vAlign w:val="center"/>
            <w:hideMark/>
          </w:tcPr>
          <w:p w14:paraId="0D25241A"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r>
      <w:tr w:rsidR="00F12E08" w:rsidRPr="00142AB5" w14:paraId="0F4D0235" w14:textId="77777777" w:rsidTr="00AF50E3">
        <w:trPr>
          <w:trHeight w:val="300"/>
        </w:trPr>
        <w:tc>
          <w:tcPr>
            <w:tcW w:w="2080" w:type="dxa"/>
            <w:vMerge/>
            <w:tcBorders>
              <w:top w:val="single" w:sz="8" w:space="0" w:color="auto"/>
              <w:left w:val="single" w:sz="8" w:space="0" w:color="auto"/>
              <w:bottom w:val="single" w:sz="4" w:space="0" w:color="auto"/>
              <w:right w:val="single" w:sz="4" w:space="0" w:color="auto"/>
            </w:tcBorders>
            <w:shd w:val="clear" w:color="auto" w:fill="A5C9EB" w:themeFill="text2" w:themeFillTint="40"/>
            <w:vAlign w:val="center"/>
            <w:hideMark/>
          </w:tcPr>
          <w:p w14:paraId="01AF9DF6"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c>
          <w:tcPr>
            <w:tcW w:w="4020" w:type="dxa"/>
            <w:tcBorders>
              <w:top w:val="nil"/>
              <w:left w:val="nil"/>
              <w:bottom w:val="single" w:sz="4" w:space="0" w:color="auto"/>
              <w:right w:val="single" w:sz="4" w:space="0" w:color="auto"/>
            </w:tcBorders>
            <w:vAlign w:val="bottom"/>
            <w:hideMark/>
          </w:tcPr>
          <w:p w14:paraId="494B92CD" w14:textId="77777777" w:rsidR="00F12E08" w:rsidRPr="00142AB5" w:rsidRDefault="00F12E08"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Cybercriminalité</w:t>
            </w:r>
          </w:p>
        </w:tc>
        <w:tc>
          <w:tcPr>
            <w:tcW w:w="2020" w:type="dxa"/>
            <w:tcBorders>
              <w:top w:val="nil"/>
              <w:left w:val="nil"/>
              <w:bottom w:val="single" w:sz="4" w:space="0" w:color="auto"/>
              <w:right w:val="single" w:sz="4" w:space="0" w:color="auto"/>
            </w:tcBorders>
            <w:noWrap/>
            <w:vAlign w:val="center"/>
            <w:hideMark/>
          </w:tcPr>
          <w:p w14:paraId="734B914C" w14:textId="2218646B" w:rsidR="00F12E08" w:rsidRPr="00142AB5" w:rsidRDefault="00F12E08" w:rsidP="00DD206B">
            <w:pPr>
              <w:spacing w:after="0" w:line="360" w:lineRule="auto"/>
              <w:jc w:val="both"/>
              <w:rPr>
                <w:rFonts w:eastAsia="Times New Roman" w:cs="Times New Roman"/>
                <w:color w:val="000000"/>
                <w:sz w:val="22"/>
                <w:szCs w:val="22"/>
                <w:lang w:eastAsia="fr-FR"/>
              </w:rPr>
            </w:pPr>
            <w:proofErr w:type="gramStart"/>
            <w:r w:rsidRPr="00142AB5">
              <w:rPr>
                <w:rFonts w:eastAsia="Times New Roman" w:cs="Times New Roman"/>
                <w:color w:val="000000"/>
                <w:sz w:val="22"/>
                <w:szCs w:val="22"/>
                <w:lang w:eastAsia="fr-FR"/>
              </w:rPr>
              <w:t>très</w:t>
            </w:r>
            <w:proofErr w:type="gramEnd"/>
            <w:r w:rsidRPr="00142AB5">
              <w:rPr>
                <w:rFonts w:eastAsia="Times New Roman" w:cs="Times New Roman"/>
                <w:color w:val="000000"/>
                <w:sz w:val="22"/>
                <w:szCs w:val="22"/>
                <w:lang w:eastAsia="fr-FR"/>
              </w:rPr>
              <w:t xml:space="preserve"> élevé</w:t>
            </w:r>
          </w:p>
        </w:tc>
        <w:tc>
          <w:tcPr>
            <w:tcW w:w="2140" w:type="dxa"/>
            <w:vMerge/>
            <w:tcBorders>
              <w:top w:val="single" w:sz="8" w:space="0" w:color="auto"/>
              <w:left w:val="single" w:sz="4" w:space="0" w:color="auto"/>
              <w:bottom w:val="single" w:sz="4" w:space="0" w:color="auto"/>
              <w:right w:val="single" w:sz="8" w:space="0" w:color="auto"/>
            </w:tcBorders>
            <w:vAlign w:val="center"/>
            <w:hideMark/>
          </w:tcPr>
          <w:p w14:paraId="351204C0"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r>
      <w:tr w:rsidR="00F12E08" w:rsidRPr="00142AB5" w14:paraId="2D0F5981" w14:textId="77777777" w:rsidTr="00AF50E3">
        <w:trPr>
          <w:trHeight w:val="300"/>
        </w:trPr>
        <w:tc>
          <w:tcPr>
            <w:tcW w:w="2080" w:type="dxa"/>
            <w:vMerge/>
            <w:tcBorders>
              <w:top w:val="single" w:sz="8" w:space="0" w:color="auto"/>
              <w:left w:val="single" w:sz="8" w:space="0" w:color="auto"/>
              <w:bottom w:val="single" w:sz="4" w:space="0" w:color="auto"/>
              <w:right w:val="single" w:sz="4" w:space="0" w:color="auto"/>
            </w:tcBorders>
            <w:shd w:val="clear" w:color="auto" w:fill="A5C9EB" w:themeFill="text2" w:themeFillTint="40"/>
            <w:vAlign w:val="center"/>
            <w:hideMark/>
          </w:tcPr>
          <w:p w14:paraId="185A7789"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c>
          <w:tcPr>
            <w:tcW w:w="4020" w:type="dxa"/>
            <w:tcBorders>
              <w:top w:val="nil"/>
              <w:left w:val="nil"/>
              <w:bottom w:val="single" w:sz="4" w:space="0" w:color="auto"/>
              <w:right w:val="single" w:sz="4" w:space="0" w:color="auto"/>
            </w:tcBorders>
            <w:vAlign w:val="bottom"/>
            <w:hideMark/>
          </w:tcPr>
          <w:p w14:paraId="61A872CC" w14:textId="77777777" w:rsidR="00F12E08" w:rsidRPr="00142AB5" w:rsidRDefault="00F12E08"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Fraude fiscale</w:t>
            </w:r>
          </w:p>
        </w:tc>
        <w:tc>
          <w:tcPr>
            <w:tcW w:w="2020" w:type="dxa"/>
            <w:tcBorders>
              <w:top w:val="nil"/>
              <w:left w:val="nil"/>
              <w:bottom w:val="single" w:sz="4" w:space="0" w:color="auto"/>
              <w:right w:val="single" w:sz="4" w:space="0" w:color="auto"/>
            </w:tcBorders>
            <w:noWrap/>
            <w:vAlign w:val="center"/>
            <w:hideMark/>
          </w:tcPr>
          <w:p w14:paraId="1648E683" w14:textId="77777777" w:rsidR="00F12E08" w:rsidRPr="00142AB5" w:rsidRDefault="00F12E08" w:rsidP="00DD206B">
            <w:pPr>
              <w:spacing w:after="0" w:line="360" w:lineRule="auto"/>
              <w:jc w:val="both"/>
              <w:rPr>
                <w:rFonts w:eastAsia="Times New Roman" w:cs="Times New Roman"/>
                <w:color w:val="000000"/>
                <w:sz w:val="22"/>
                <w:szCs w:val="22"/>
                <w:lang w:eastAsia="fr-FR"/>
              </w:rPr>
            </w:pPr>
            <w:proofErr w:type="gramStart"/>
            <w:r w:rsidRPr="00142AB5">
              <w:rPr>
                <w:rFonts w:eastAsia="Times New Roman" w:cs="Times New Roman"/>
                <w:color w:val="000000"/>
                <w:sz w:val="22"/>
                <w:szCs w:val="22"/>
                <w:lang w:eastAsia="fr-FR"/>
              </w:rPr>
              <w:t>élevé</w:t>
            </w:r>
            <w:proofErr w:type="gramEnd"/>
            <w:r w:rsidRPr="00142AB5">
              <w:rPr>
                <w:rFonts w:eastAsia="Times New Roman" w:cs="Times New Roman"/>
                <w:color w:val="000000"/>
                <w:sz w:val="22"/>
                <w:szCs w:val="22"/>
                <w:lang w:eastAsia="fr-FR"/>
              </w:rPr>
              <w:t xml:space="preserve"> </w:t>
            </w:r>
          </w:p>
        </w:tc>
        <w:tc>
          <w:tcPr>
            <w:tcW w:w="2140" w:type="dxa"/>
            <w:vMerge/>
            <w:tcBorders>
              <w:top w:val="single" w:sz="8" w:space="0" w:color="auto"/>
              <w:left w:val="single" w:sz="4" w:space="0" w:color="auto"/>
              <w:bottom w:val="single" w:sz="4" w:space="0" w:color="auto"/>
              <w:right w:val="single" w:sz="8" w:space="0" w:color="auto"/>
            </w:tcBorders>
            <w:vAlign w:val="center"/>
            <w:hideMark/>
          </w:tcPr>
          <w:p w14:paraId="05BFE05F"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r>
      <w:tr w:rsidR="00F12E08" w:rsidRPr="00142AB5" w14:paraId="58F7FF58" w14:textId="77777777" w:rsidTr="00AF50E3">
        <w:trPr>
          <w:trHeight w:val="300"/>
        </w:trPr>
        <w:tc>
          <w:tcPr>
            <w:tcW w:w="2080" w:type="dxa"/>
            <w:vMerge/>
            <w:tcBorders>
              <w:top w:val="single" w:sz="8" w:space="0" w:color="auto"/>
              <w:left w:val="single" w:sz="8" w:space="0" w:color="auto"/>
              <w:bottom w:val="single" w:sz="4" w:space="0" w:color="auto"/>
              <w:right w:val="single" w:sz="4" w:space="0" w:color="auto"/>
            </w:tcBorders>
            <w:shd w:val="clear" w:color="auto" w:fill="A5C9EB" w:themeFill="text2" w:themeFillTint="40"/>
            <w:vAlign w:val="center"/>
            <w:hideMark/>
          </w:tcPr>
          <w:p w14:paraId="40E97E28"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c>
          <w:tcPr>
            <w:tcW w:w="4020" w:type="dxa"/>
            <w:tcBorders>
              <w:top w:val="nil"/>
              <w:left w:val="nil"/>
              <w:bottom w:val="single" w:sz="4" w:space="0" w:color="auto"/>
              <w:right w:val="single" w:sz="4" w:space="0" w:color="auto"/>
            </w:tcBorders>
            <w:vAlign w:val="bottom"/>
            <w:hideMark/>
          </w:tcPr>
          <w:p w14:paraId="5899ABA2" w14:textId="5A16DE10" w:rsidR="00F12E08" w:rsidRPr="00142AB5" w:rsidRDefault="008C78F2"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I</w:t>
            </w:r>
            <w:r w:rsidR="00F12E08" w:rsidRPr="00142AB5">
              <w:rPr>
                <w:rFonts w:eastAsia="Times New Roman" w:cs="Times New Roman"/>
                <w:color w:val="000000"/>
                <w:sz w:val="22"/>
                <w:szCs w:val="22"/>
                <w:lang w:eastAsia="fr-FR"/>
              </w:rPr>
              <w:t>nfractions environnementales</w:t>
            </w:r>
          </w:p>
        </w:tc>
        <w:tc>
          <w:tcPr>
            <w:tcW w:w="2020" w:type="dxa"/>
            <w:tcBorders>
              <w:top w:val="nil"/>
              <w:left w:val="nil"/>
              <w:bottom w:val="single" w:sz="4" w:space="0" w:color="auto"/>
              <w:right w:val="single" w:sz="4" w:space="0" w:color="auto"/>
            </w:tcBorders>
            <w:noWrap/>
            <w:vAlign w:val="center"/>
            <w:hideMark/>
          </w:tcPr>
          <w:p w14:paraId="1A5A3D4C" w14:textId="1E63D5DD" w:rsidR="00F12E08" w:rsidRPr="00142AB5" w:rsidRDefault="00F12E08" w:rsidP="00DD206B">
            <w:pPr>
              <w:spacing w:after="0" w:line="360" w:lineRule="auto"/>
              <w:jc w:val="both"/>
              <w:rPr>
                <w:rFonts w:eastAsia="Times New Roman" w:cs="Times New Roman"/>
                <w:color w:val="000000"/>
                <w:sz w:val="22"/>
                <w:szCs w:val="22"/>
                <w:lang w:eastAsia="fr-FR"/>
              </w:rPr>
            </w:pPr>
            <w:proofErr w:type="gramStart"/>
            <w:r w:rsidRPr="00142AB5">
              <w:rPr>
                <w:rFonts w:eastAsia="Times New Roman" w:cs="Times New Roman"/>
                <w:color w:val="000000"/>
                <w:sz w:val="22"/>
                <w:szCs w:val="22"/>
                <w:lang w:eastAsia="fr-FR"/>
              </w:rPr>
              <w:t>très</w:t>
            </w:r>
            <w:proofErr w:type="gramEnd"/>
            <w:r w:rsidRPr="00142AB5">
              <w:rPr>
                <w:rFonts w:eastAsia="Times New Roman" w:cs="Times New Roman"/>
                <w:color w:val="000000"/>
                <w:sz w:val="22"/>
                <w:szCs w:val="22"/>
                <w:lang w:eastAsia="fr-FR"/>
              </w:rPr>
              <w:t xml:space="preserve"> élevé</w:t>
            </w:r>
          </w:p>
        </w:tc>
        <w:tc>
          <w:tcPr>
            <w:tcW w:w="2140" w:type="dxa"/>
            <w:vMerge/>
            <w:tcBorders>
              <w:top w:val="single" w:sz="8" w:space="0" w:color="auto"/>
              <w:left w:val="single" w:sz="4" w:space="0" w:color="auto"/>
              <w:bottom w:val="single" w:sz="4" w:space="0" w:color="auto"/>
              <w:right w:val="single" w:sz="8" w:space="0" w:color="auto"/>
            </w:tcBorders>
            <w:vAlign w:val="center"/>
            <w:hideMark/>
          </w:tcPr>
          <w:p w14:paraId="12EE3F1D"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r>
      <w:tr w:rsidR="00F12E08" w:rsidRPr="00142AB5" w14:paraId="2C896863" w14:textId="77777777" w:rsidTr="00AF50E3">
        <w:trPr>
          <w:trHeight w:val="300"/>
        </w:trPr>
        <w:tc>
          <w:tcPr>
            <w:tcW w:w="2080" w:type="dxa"/>
            <w:vMerge w:val="restart"/>
            <w:tcBorders>
              <w:top w:val="nil"/>
              <w:left w:val="single" w:sz="8" w:space="0" w:color="auto"/>
              <w:bottom w:val="single" w:sz="4" w:space="0" w:color="auto"/>
              <w:right w:val="single" w:sz="4" w:space="0" w:color="auto"/>
            </w:tcBorders>
            <w:shd w:val="clear" w:color="auto" w:fill="A5C9EB" w:themeFill="text2" w:themeFillTint="40"/>
            <w:noWrap/>
            <w:vAlign w:val="center"/>
            <w:hideMark/>
          </w:tcPr>
          <w:p w14:paraId="3D0BBB92" w14:textId="580391DA" w:rsidR="00F12E08" w:rsidRPr="00142AB5" w:rsidRDefault="008C78F2" w:rsidP="00DD206B">
            <w:pPr>
              <w:spacing w:after="0" w:line="360" w:lineRule="auto"/>
              <w:jc w:val="both"/>
              <w:rPr>
                <w:rFonts w:eastAsia="Times New Roman" w:cs="Times New Roman"/>
                <w:color w:val="000000"/>
                <w:sz w:val="22"/>
                <w:szCs w:val="22"/>
                <w:lang w:eastAsia="fr-FR"/>
              </w:rPr>
            </w:pPr>
            <w:bookmarkStart w:id="29" w:name="_Hlk206596924"/>
            <w:bookmarkEnd w:id="28"/>
            <w:r w:rsidRPr="00142AB5">
              <w:rPr>
                <w:rFonts w:eastAsia="Times New Roman" w:cs="Times New Roman"/>
                <w:color w:val="000000"/>
                <w:sz w:val="22"/>
                <w:szCs w:val="22"/>
                <w:lang w:eastAsia="fr-FR"/>
              </w:rPr>
              <w:t>M</w:t>
            </w:r>
            <w:r w:rsidR="00F12E08" w:rsidRPr="00142AB5">
              <w:rPr>
                <w:rFonts w:eastAsia="Times New Roman" w:cs="Times New Roman"/>
                <w:color w:val="000000"/>
                <w:sz w:val="22"/>
                <w:szCs w:val="22"/>
                <w:lang w:eastAsia="fr-FR"/>
              </w:rPr>
              <w:t>enace extérieure</w:t>
            </w:r>
          </w:p>
        </w:tc>
        <w:tc>
          <w:tcPr>
            <w:tcW w:w="4020" w:type="dxa"/>
            <w:tcBorders>
              <w:top w:val="nil"/>
              <w:left w:val="nil"/>
              <w:bottom w:val="single" w:sz="4" w:space="0" w:color="auto"/>
              <w:right w:val="single" w:sz="4" w:space="0" w:color="auto"/>
            </w:tcBorders>
            <w:vAlign w:val="bottom"/>
            <w:hideMark/>
          </w:tcPr>
          <w:p w14:paraId="06279966" w14:textId="4F48D2D6" w:rsidR="00F12E08" w:rsidRPr="00142AB5" w:rsidRDefault="00F12E08"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Trafic illicite de stupéfiant</w:t>
            </w:r>
            <w:r w:rsidR="008C78F2" w:rsidRPr="00142AB5">
              <w:rPr>
                <w:rFonts w:eastAsia="Times New Roman" w:cs="Times New Roman"/>
                <w:color w:val="000000"/>
                <w:sz w:val="22"/>
                <w:szCs w:val="22"/>
                <w:lang w:eastAsia="fr-FR"/>
              </w:rPr>
              <w:t>s</w:t>
            </w:r>
          </w:p>
        </w:tc>
        <w:tc>
          <w:tcPr>
            <w:tcW w:w="2020" w:type="dxa"/>
            <w:tcBorders>
              <w:top w:val="nil"/>
              <w:left w:val="nil"/>
              <w:bottom w:val="single" w:sz="4" w:space="0" w:color="auto"/>
              <w:right w:val="single" w:sz="4" w:space="0" w:color="auto"/>
            </w:tcBorders>
            <w:noWrap/>
            <w:vAlign w:val="center"/>
            <w:hideMark/>
          </w:tcPr>
          <w:p w14:paraId="38348ADD" w14:textId="4715CADE" w:rsidR="00F12E08" w:rsidRPr="00142AB5" w:rsidRDefault="00F12E08" w:rsidP="00DD206B">
            <w:pPr>
              <w:spacing w:after="0" w:line="360" w:lineRule="auto"/>
              <w:jc w:val="both"/>
              <w:rPr>
                <w:rFonts w:eastAsia="Times New Roman" w:cs="Times New Roman"/>
                <w:color w:val="000000"/>
                <w:sz w:val="22"/>
                <w:szCs w:val="22"/>
                <w:lang w:eastAsia="fr-FR"/>
              </w:rPr>
            </w:pPr>
            <w:proofErr w:type="gramStart"/>
            <w:r w:rsidRPr="00142AB5">
              <w:rPr>
                <w:rFonts w:eastAsia="Times New Roman" w:cs="Times New Roman"/>
                <w:color w:val="000000"/>
                <w:sz w:val="22"/>
                <w:szCs w:val="22"/>
                <w:lang w:eastAsia="fr-FR"/>
              </w:rPr>
              <w:t>très</w:t>
            </w:r>
            <w:proofErr w:type="gramEnd"/>
            <w:r w:rsidRPr="00142AB5">
              <w:rPr>
                <w:rFonts w:eastAsia="Times New Roman" w:cs="Times New Roman"/>
                <w:color w:val="000000"/>
                <w:sz w:val="22"/>
                <w:szCs w:val="22"/>
                <w:lang w:eastAsia="fr-FR"/>
              </w:rPr>
              <w:t xml:space="preserve"> élevé</w:t>
            </w:r>
          </w:p>
        </w:tc>
        <w:tc>
          <w:tcPr>
            <w:tcW w:w="2140" w:type="dxa"/>
            <w:vMerge w:val="restart"/>
            <w:tcBorders>
              <w:top w:val="nil"/>
              <w:left w:val="single" w:sz="4" w:space="0" w:color="auto"/>
              <w:bottom w:val="single" w:sz="4" w:space="0" w:color="auto"/>
              <w:right w:val="single" w:sz="8" w:space="0" w:color="auto"/>
            </w:tcBorders>
            <w:noWrap/>
            <w:vAlign w:val="center"/>
            <w:hideMark/>
          </w:tcPr>
          <w:p w14:paraId="52C00B96" w14:textId="77777777" w:rsidR="00F12E08" w:rsidRPr="00142AB5" w:rsidRDefault="00F12E08" w:rsidP="00DD206B">
            <w:pPr>
              <w:spacing w:after="0" w:line="360" w:lineRule="auto"/>
              <w:jc w:val="both"/>
              <w:rPr>
                <w:rFonts w:eastAsia="Times New Roman" w:cs="Times New Roman"/>
                <w:color w:val="000000"/>
                <w:sz w:val="22"/>
                <w:szCs w:val="22"/>
                <w:lang w:eastAsia="fr-FR"/>
              </w:rPr>
            </w:pPr>
            <w:proofErr w:type="gramStart"/>
            <w:r w:rsidRPr="00142AB5">
              <w:rPr>
                <w:rFonts w:eastAsia="Times New Roman" w:cs="Times New Roman"/>
                <w:color w:val="000000"/>
                <w:sz w:val="22"/>
                <w:szCs w:val="22"/>
                <w:lang w:eastAsia="fr-FR"/>
              </w:rPr>
              <w:t>élevé</w:t>
            </w:r>
            <w:proofErr w:type="gramEnd"/>
          </w:p>
        </w:tc>
      </w:tr>
      <w:tr w:rsidR="00F12E08" w:rsidRPr="00142AB5" w14:paraId="22B5F768" w14:textId="77777777" w:rsidTr="00AF50E3">
        <w:trPr>
          <w:trHeight w:val="300"/>
        </w:trPr>
        <w:tc>
          <w:tcPr>
            <w:tcW w:w="2080" w:type="dxa"/>
            <w:vMerge/>
            <w:tcBorders>
              <w:top w:val="nil"/>
              <w:left w:val="single" w:sz="8" w:space="0" w:color="auto"/>
              <w:bottom w:val="single" w:sz="4" w:space="0" w:color="auto"/>
              <w:right w:val="single" w:sz="4" w:space="0" w:color="auto"/>
            </w:tcBorders>
            <w:shd w:val="clear" w:color="auto" w:fill="A5C9EB" w:themeFill="text2" w:themeFillTint="40"/>
            <w:vAlign w:val="center"/>
            <w:hideMark/>
          </w:tcPr>
          <w:p w14:paraId="2E767136"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c>
          <w:tcPr>
            <w:tcW w:w="4020" w:type="dxa"/>
            <w:tcBorders>
              <w:top w:val="nil"/>
              <w:left w:val="nil"/>
              <w:bottom w:val="single" w:sz="4" w:space="0" w:color="auto"/>
              <w:right w:val="single" w:sz="4" w:space="0" w:color="auto"/>
            </w:tcBorders>
            <w:vAlign w:val="bottom"/>
            <w:hideMark/>
          </w:tcPr>
          <w:p w14:paraId="10E1F6E4" w14:textId="2AC6BAD4" w:rsidR="00F12E08" w:rsidRPr="00142AB5" w:rsidRDefault="00F12E08"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Cybercriminalité</w:t>
            </w:r>
          </w:p>
        </w:tc>
        <w:tc>
          <w:tcPr>
            <w:tcW w:w="2020" w:type="dxa"/>
            <w:tcBorders>
              <w:top w:val="nil"/>
              <w:left w:val="nil"/>
              <w:bottom w:val="single" w:sz="4" w:space="0" w:color="auto"/>
              <w:right w:val="single" w:sz="4" w:space="0" w:color="auto"/>
            </w:tcBorders>
            <w:noWrap/>
            <w:vAlign w:val="center"/>
            <w:hideMark/>
          </w:tcPr>
          <w:p w14:paraId="47C94D3D" w14:textId="71DC72B2" w:rsidR="00F12E08" w:rsidRPr="00142AB5" w:rsidRDefault="00F12E08" w:rsidP="00DD206B">
            <w:pPr>
              <w:spacing w:after="0" w:line="360" w:lineRule="auto"/>
              <w:jc w:val="both"/>
              <w:rPr>
                <w:rFonts w:eastAsia="Times New Roman" w:cs="Times New Roman"/>
                <w:color w:val="000000"/>
                <w:sz w:val="22"/>
                <w:szCs w:val="22"/>
                <w:lang w:eastAsia="fr-FR"/>
              </w:rPr>
            </w:pPr>
            <w:proofErr w:type="gramStart"/>
            <w:r w:rsidRPr="00142AB5">
              <w:rPr>
                <w:rFonts w:eastAsia="Times New Roman" w:cs="Times New Roman"/>
                <w:color w:val="000000"/>
                <w:sz w:val="22"/>
                <w:szCs w:val="22"/>
                <w:lang w:eastAsia="fr-FR"/>
              </w:rPr>
              <w:t>très</w:t>
            </w:r>
            <w:proofErr w:type="gramEnd"/>
            <w:r w:rsidRPr="00142AB5">
              <w:rPr>
                <w:rFonts w:eastAsia="Times New Roman" w:cs="Times New Roman"/>
                <w:color w:val="000000"/>
                <w:sz w:val="22"/>
                <w:szCs w:val="22"/>
                <w:lang w:eastAsia="fr-FR"/>
              </w:rPr>
              <w:t xml:space="preserve"> élevé</w:t>
            </w:r>
          </w:p>
        </w:tc>
        <w:tc>
          <w:tcPr>
            <w:tcW w:w="2140" w:type="dxa"/>
            <w:vMerge/>
            <w:tcBorders>
              <w:top w:val="nil"/>
              <w:left w:val="single" w:sz="4" w:space="0" w:color="auto"/>
              <w:bottom w:val="single" w:sz="4" w:space="0" w:color="auto"/>
              <w:right w:val="single" w:sz="8" w:space="0" w:color="auto"/>
            </w:tcBorders>
            <w:vAlign w:val="center"/>
            <w:hideMark/>
          </w:tcPr>
          <w:p w14:paraId="10A4F0C9"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r>
      <w:tr w:rsidR="00F12E08" w:rsidRPr="00142AB5" w14:paraId="3FE4DA6D" w14:textId="77777777" w:rsidTr="00AF50E3">
        <w:trPr>
          <w:trHeight w:val="300"/>
        </w:trPr>
        <w:tc>
          <w:tcPr>
            <w:tcW w:w="2080" w:type="dxa"/>
            <w:vMerge/>
            <w:tcBorders>
              <w:top w:val="nil"/>
              <w:left w:val="single" w:sz="8" w:space="0" w:color="auto"/>
              <w:bottom w:val="single" w:sz="4" w:space="0" w:color="auto"/>
              <w:right w:val="single" w:sz="4" w:space="0" w:color="auto"/>
            </w:tcBorders>
            <w:shd w:val="clear" w:color="auto" w:fill="A5C9EB" w:themeFill="text2" w:themeFillTint="40"/>
            <w:vAlign w:val="center"/>
            <w:hideMark/>
          </w:tcPr>
          <w:p w14:paraId="39E126F3"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c>
          <w:tcPr>
            <w:tcW w:w="4020" w:type="dxa"/>
            <w:tcBorders>
              <w:top w:val="nil"/>
              <w:left w:val="nil"/>
              <w:bottom w:val="single" w:sz="4" w:space="0" w:color="auto"/>
              <w:right w:val="single" w:sz="4" w:space="0" w:color="auto"/>
            </w:tcBorders>
            <w:vAlign w:val="bottom"/>
            <w:hideMark/>
          </w:tcPr>
          <w:p w14:paraId="0DA00DC6" w14:textId="77777777" w:rsidR="00F12E08" w:rsidRPr="00142AB5" w:rsidRDefault="00F12E08"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Fraude fiscale</w:t>
            </w:r>
          </w:p>
        </w:tc>
        <w:tc>
          <w:tcPr>
            <w:tcW w:w="2020" w:type="dxa"/>
            <w:tcBorders>
              <w:top w:val="nil"/>
              <w:left w:val="nil"/>
              <w:bottom w:val="single" w:sz="4" w:space="0" w:color="auto"/>
              <w:right w:val="single" w:sz="4" w:space="0" w:color="auto"/>
            </w:tcBorders>
            <w:noWrap/>
            <w:vAlign w:val="center"/>
            <w:hideMark/>
          </w:tcPr>
          <w:p w14:paraId="503D2212" w14:textId="77777777" w:rsidR="00F12E08" w:rsidRPr="00142AB5" w:rsidRDefault="00F12E08" w:rsidP="00DD206B">
            <w:pPr>
              <w:spacing w:after="0" w:line="360" w:lineRule="auto"/>
              <w:jc w:val="both"/>
              <w:rPr>
                <w:rFonts w:eastAsia="Times New Roman" w:cs="Times New Roman"/>
                <w:color w:val="000000"/>
                <w:sz w:val="22"/>
                <w:szCs w:val="22"/>
                <w:lang w:eastAsia="fr-FR"/>
              </w:rPr>
            </w:pPr>
            <w:proofErr w:type="gramStart"/>
            <w:r w:rsidRPr="00142AB5">
              <w:rPr>
                <w:rFonts w:eastAsia="Times New Roman" w:cs="Times New Roman"/>
                <w:color w:val="000000"/>
                <w:sz w:val="22"/>
                <w:szCs w:val="22"/>
                <w:lang w:eastAsia="fr-FR"/>
              </w:rPr>
              <w:t>élevé</w:t>
            </w:r>
            <w:proofErr w:type="gramEnd"/>
          </w:p>
        </w:tc>
        <w:tc>
          <w:tcPr>
            <w:tcW w:w="2140" w:type="dxa"/>
            <w:vMerge/>
            <w:tcBorders>
              <w:top w:val="nil"/>
              <w:left w:val="single" w:sz="4" w:space="0" w:color="auto"/>
              <w:bottom w:val="single" w:sz="4" w:space="0" w:color="auto"/>
              <w:right w:val="single" w:sz="8" w:space="0" w:color="auto"/>
            </w:tcBorders>
            <w:vAlign w:val="center"/>
            <w:hideMark/>
          </w:tcPr>
          <w:p w14:paraId="5450EEC5"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r>
      <w:tr w:rsidR="00F12E08" w:rsidRPr="00142AB5" w14:paraId="7861692A" w14:textId="77777777" w:rsidTr="00AF50E3">
        <w:trPr>
          <w:trHeight w:val="300"/>
        </w:trPr>
        <w:tc>
          <w:tcPr>
            <w:tcW w:w="2080" w:type="dxa"/>
            <w:vMerge/>
            <w:tcBorders>
              <w:top w:val="nil"/>
              <w:left w:val="single" w:sz="8" w:space="0" w:color="auto"/>
              <w:bottom w:val="single" w:sz="4" w:space="0" w:color="auto"/>
              <w:right w:val="single" w:sz="4" w:space="0" w:color="auto"/>
            </w:tcBorders>
            <w:shd w:val="clear" w:color="auto" w:fill="A5C9EB" w:themeFill="text2" w:themeFillTint="40"/>
            <w:vAlign w:val="center"/>
            <w:hideMark/>
          </w:tcPr>
          <w:p w14:paraId="499C5FCA"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c>
          <w:tcPr>
            <w:tcW w:w="4020" w:type="dxa"/>
            <w:tcBorders>
              <w:top w:val="nil"/>
              <w:left w:val="nil"/>
              <w:bottom w:val="single" w:sz="4" w:space="0" w:color="auto"/>
              <w:right w:val="single" w:sz="4" w:space="0" w:color="auto"/>
            </w:tcBorders>
            <w:vAlign w:val="bottom"/>
            <w:hideMark/>
          </w:tcPr>
          <w:p w14:paraId="0F139A35" w14:textId="73C15F61" w:rsidR="00F12E08" w:rsidRPr="00142AB5" w:rsidRDefault="008C78F2"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V</w:t>
            </w:r>
            <w:r w:rsidR="00F12E08" w:rsidRPr="00142AB5">
              <w:rPr>
                <w:rFonts w:eastAsia="Times New Roman" w:cs="Times New Roman"/>
                <w:color w:val="000000"/>
                <w:sz w:val="22"/>
                <w:szCs w:val="22"/>
                <w:lang w:eastAsia="fr-FR"/>
              </w:rPr>
              <w:t xml:space="preserve">ol de véhicule </w:t>
            </w:r>
          </w:p>
        </w:tc>
        <w:tc>
          <w:tcPr>
            <w:tcW w:w="2020" w:type="dxa"/>
            <w:tcBorders>
              <w:top w:val="nil"/>
              <w:left w:val="nil"/>
              <w:bottom w:val="single" w:sz="4" w:space="0" w:color="auto"/>
              <w:right w:val="single" w:sz="4" w:space="0" w:color="auto"/>
            </w:tcBorders>
            <w:noWrap/>
            <w:vAlign w:val="center"/>
            <w:hideMark/>
          </w:tcPr>
          <w:p w14:paraId="7E0FA437" w14:textId="77777777" w:rsidR="00F12E08" w:rsidRPr="00142AB5" w:rsidRDefault="00F12E08" w:rsidP="00DD206B">
            <w:pPr>
              <w:spacing w:after="0" w:line="360" w:lineRule="auto"/>
              <w:jc w:val="both"/>
              <w:rPr>
                <w:rFonts w:eastAsia="Times New Roman" w:cs="Times New Roman"/>
                <w:color w:val="000000"/>
                <w:sz w:val="22"/>
                <w:szCs w:val="22"/>
                <w:lang w:eastAsia="fr-FR"/>
              </w:rPr>
            </w:pPr>
            <w:proofErr w:type="gramStart"/>
            <w:r w:rsidRPr="00142AB5">
              <w:rPr>
                <w:rFonts w:eastAsia="Times New Roman" w:cs="Times New Roman"/>
                <w:color w:val="000000"/>
                <w:sz w:val="22"/>
                <w:szCs w:val="22"/>
                <w:lang w:eastAsia="fr-FR"/>
              </w:rPr>
              <w:t>moyen</w:t>
            </w:r>
            <w:proofErr w:type="gramEnd"/>
          </w:p>
        </w:tc>
        <w:tc>
          <w:tcPr>
            <w:tcW w:w="2140" w:type="dxa"/>
            <w:vMerge/>
            <w:tcBorders>
              <w:top w:val="nil"/>
              <w:left w:val="single" w:sz="4" w:space="0" w:color="auto"/>
              <w:bottom w:val="single" w:sz="4" w:space="0" w:color="auto"/>
              <w:right w:val="single" w:sz="8" w:space="0" w:color="auto"/>
            </w:tcBorders>
            <w:vAlign w:val="center"/>
            <w:hideMark/>
          </w:tcPr>
          <w:p w14:paraId="391BBE54"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r>
      <w:tr w:rsidR="00F12E08" w:rsidRPr="00142AB5" w14:paraId="2FA5FC20" w14:textId="77777777" w:rsidTr="00AF50E3">
        <w:trPr>
          <w:trHeight w:val="600"/>
        </w:trPr>
        <w:tc>
          <w:tcPr>
            <w:tcW w:w="2080" w:type="dxa"/>
            <w:vMerge/>
            <w:tcBorders>
              <w:top w:val="nil"/>
              <w:left w:val="single" w:sz="8" w:space="0" w:color="auto"/>
              <w:bottom w:val="single" w:sz="4" w:space="0" w:color="auto"/>
              <w:right w:val="single" w:sz="4" w:space="0" w:color="auto"/>
            </w:tcBorders>
            <w:shd w:val="clear" w:color="auto" w:fill="A5C9EB" w:themeFill="text2" w:themeFillTint="40"/>
            <w:vAlign w:val="center"/>
            <w:hideMark/>
          </w:tcPr>
          <w:p w14:paraId="4C0C697E"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c>
          <w:tcPr>
            <w:tcW w:w="4020" w:type="dxa"/>
            <w:tcBorders>
              <w:top w:val="nil"/>
              <w:left w:val="nil"/>
              <w:bottom w:val="single" w:sz="4" w:space="0" w:color="auto"/>
              <w:right w:val="single" w:sz="4" w:space="0" w:color="auto"/>
            </w:tcBorders>
            <w:vAlign w:val="bottom"/>
            <w:hideMark/>
          </w:tcPr>
          <w:p w14:paraId="1337DCB8" w14:textId="6CD46229" w:rsidR="00F12E08" w:rsidRPr="00142AB5" w:rsidRDefault="00F12E08"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 xml:space="preserve">Fraude, faux et usage de faux, escroquerie, abus de confiance </w:t>
            </w:r>
          </w:p>
        </w:tc>
        <w:tc>
          <w:tcPr>
            <w:tcW w:w="2020" w:type="dxa"/>
            <w:tcBorders>
              <w:top w:val="nil"/>
              <w:left w:val="nil"/>
              <w:bottom w:val="single" w:sz="4" w:space="0" w:color="auto"/>
              <w:right w:val="single" w:sz="4" w:space="0" w:color="auto"/>
            </w:tcBorders>
            <w:noWrap/>
            <w:vAlign w:val="center"/>
            <w:hideMark/>
          </w:tcPr>
          <w:p w14:paraId="611B3F6E" w14:textId="77777777" w:rsidR="00F12E08" w:rsidRPr="00142AB5" w:rsidRDefault="00F12E08" w:rsidP="00DD206B">
            <w:pPr>
              <w:spacing w:after="0" w:line="360" w:lineRule="auto"/>
              <w:jc w:val="both"/>
              <w:rPr>
                <w:rFonts w:eastAsia="Times New Roman" w:cs="Times New Roman"/>
                <w:color w:val="000000"/>
                <w:sz w:val="22"/>
                <w:szCs w:val="22"/>
                <w:lang w:eastAsia="fr-FR"/>
              </w:rPr>
            </w:pPr>
            <w:proofErr w:type="gramStart"/>
            <w:r w:rsidRPr="00142AB5">
              <w:rPr>
                <w:rFonts w:eastAsia="Times New Roman" w:cs="Times New Roman"/>
                <w:color w:val="000000"/>
                <w:sz w:val="22"/>
                <w:szCs w:val="22"/>
                <w:lang w:eastAsia="fr-FR"/>
              </w:rPr>
              <w:t>moyen</w:t>
            </w:r>
            <w:proofErr w:type="gramEnd"/>
          </w:p>
        </w:tc>
        <w:tc>
          <w:tcPr>
            <w:tcW w:w="2140" w:type="dxa"/>
            <w:vMerge/>
            <w:tcBorders>
              <w:top w:val="nil"/>
              <w:left w:val="single" w:sz="4" w:space="0" w:color="auto"/>
              <w:bottom w:val="single" w:sz="4" w:space="0" w:color="auto"/>
              <w:right w:val="single" w:sz="8" w:space="0" w:color="auto"/>
            </w:tcBorders>
            <w:vAlign w:val="center"/>
            <w:hideMark/>
          </w:tcPr>
          <w:p w14:paraId="6D5D4ED4" w14:textId="77777777" w:rsidR="00F12E08" w:rsidRPr="00142AB5" w:rsidRDefault="00F12E08" w:rsidP="00DD206B">
            <w:pPr>
              <w:spacing w:after="0" w:line="360" w:lineRule="auto"/>
              <w:jc w:val="both"/>
              <w:rPr>
                <w:rFonts w:eastAsia="Times New Roman" w:cs="Times New Roman"/>
                <w:color w:val="000000"/>
                <w:sz w:val="22"/>
                <w:szCs w:val="22"/>
                <w:lang w:eastAsia="fr-FR"/>
              </w:rPr>
            </w:pPr>
          </w:p>
        </w:tc>
      </w:tr>
      <w:bookmarkEnd w:id="29"/>
      <w:tr w:rsidR="000176C6" w:rsidRPr="00142AB5" w14:paraId="0D05069D" w14:textId="77777777" w:rsidTr="00AF50E3">
        <w:trPr>
          <w:trHeight w:val="600"/>
        </w:trPr>
        <w:tc>
          <w:tcPr>
            <w:tcW w:w="2080" w:type="dxa"/>
            <w:tcBorders>
              <w:top w:val="nil"/>
              <w:left w:val="single" w:sz="8" w:space="0" w:color="auto"/>
              <w:bottom w:val="single" w:sz="4" w:space="0" w:color="auto"/>
              <w:right w:val="single" w:sz="4" w:space="0" w:color="auto"/>
            </w:tcBorders>
            <w:shd w:val="clear" w:color="auto" w:fill="A5C9EB" w:themeFill="text2" w:themeFillTint="40"/>
            <w:vAlign w:val="center"/>
          </w:tcPr>
          <w:p w14:paraId="1622554D" w14:textId="5767C13C" w:rsidR="000176C6" w:rsidRPr="00142AB5" w:rsidRDefault="000176C6" w:rsidP="00DD206B">
            <w:pPr>
              <w:spacing w:after="0" w:line="360" w:lineRule="auto"/>
              <w:jc w:val="both"/>
              <w:rPr>
                <w:rFonts w:eastAsia="Times New Roman" w:cs="Times New Roman"/>
                <w:color w:val="000000"/>
                <w:sz w:val="22"/>
                <w:szCs w:val="22"/>
                <w:lang w:eastAsia="fr-FR"/>
              </w:rPr>
            </w:pPr>
            <w:r w:rsidRPr="00142AB5">
              <w:rPr>
                <w:rFonts w:cs="Times New Roman"/>
                <w:color w:val="000000"/>
                <w:sz w:val="22"/>
                <w:szCs w:val="22"/>
              </w:rPr>
              <w:t>BC autonome</w:t>
            </w:r>
          </w:p>
        </w:tc>
        <w:tc>
          <w:tcPr>
            <w:tcW w:w="4020" w:type="dxa"/>
            <w:tcBorders>
              <w:top w:val="nil"/>
              <w:left w:val="nil"/>
              <w:bottom w:val="single" w:sz="4" w:space="0" w:color="auto"/>
              <w:right w:val="single" w:sz="4" w:space="0" w:color="auto"/>
            </w:tcBorders>
            <w:vAlign w:val="center"/>
          </w:tcPr>
          <w:p w14:paraId="3E2F2857" w14:textId="426D0545" w:rsidR="000176C6" w:rsidRPr="00142AB5" w:rsidRDefault="000176C6" w:rsidP="00DD206B">
            <w:pPr>
              <w:spacing w:after="0" w:line="360" w:lineRule="auto"/>
              <w:jc w:val="both"/>
              <w:rPr>
                <w:rFonts w:eastAsia="Times New Roman" w:cs="Times New Roman"/>
                <w:color w:val="000000"/>
                <w:sz w:val="22"/>
                <w:szCs w:val="22"/>
                <w:lang w:eastAsia="fr-FR"/>
              </w:rPr>
            </w:pPr>
            <w:r w:rsidRPr="00142AB5">
              <w:rPr>
                <w:rFonts w:cs="Times New Roman"/>
                <w:color w:val="000000"/>
                <w:sz w:val="22"/>
                <w:szCs w:val="22"/>
              </w:rPr>
              <w:t>BC autonome</w:t>
            </w:r>
          </w:p>
        </w:tc>
        <w:tc>
          <w:tcPr>
            <w:tcW w:w="2020" w:type="dxa"/>
            <w:tcBorders>
              <w:top w:val="nil"/>
              <w:left w:val="nil"/>
              <w:bottom w:val="single" w:sz="4" w:space="0" w:color="auto"/>
              <w:right w:val="single" w:sz="4" w:space="0" w:color="auto"/>
            </w:tcBorders>
            <w:noWrap/>
            <w:vAlign w:val="center"/>
          </w:tcPr>
          <w:p w14:paraId="322B6261" w14:textId="2127D244" w:rsidR="000176C6" w:rsidRPr="00142AB5" w:rsidRDefault="003E5AE8" w:rsidP="00DD206B">
            <w:pPr>
              <w:spacing w:after="0" w:line="360" w:lineRule="auto"/>
              <w:jc w:val="both"/>
              <w:rPr>
                <w:rFonts w:eastAsia="Times New Roman" w:cs="Times New Roman"/>
                <w:color w:val="000000"/>
                <w:sz w:val="22"/>
                <w:szCs w:val="22"/>
                <w:lang w:eastAsia="fr-FR"/>
              </w:rPr>
            </w:pPr>
            <w:proofErr w:type="gramStart"/>
            <w:r w:rsidRPr="00142AB5">
              <w:rPr>
                <w:rFonts w:cs="Times New Roman"/>
                <w:color w:val="000000"/>
                <w:sz w:val="22"/>
                <w:szCs w:val="22"/>
              </w:rPr>
              <w:t>f</w:t>
            </w:r>
            <w:r w:rsidR="000176C6" w:rsidRPr="00142AB5">
              <w:rPr>
                <w:rFonts w:cs="Times New Roman"/>
                <w:color w:val="000000"/>
                <w:sz w:val="22"/>
                <w:szCs w:val="22"/>
              </w:rPr>
              <w:t>aible</w:t>
            </w:r>
            <w:proofErr w:type="gramEnd"/>
          </w:p>
        </w:tc>
        <w:tc>
          <w:tcPr>
            <w:tcW w:w="2140" w:type="dxa"/>
            <w:tcBorders>
              <w:top w:val="nil"/>
              <w:left w:val="single" w:sz="4" w:space="0" w:color="auto"/>
              <w:bottom w:val="single" w:sz="4" w:space="0" w:color="auto"/>
              <w:right w:val="single" w:sz="8" w:space="0" w:color="auto"/>
            </w:tcBorders>
            <w:vAlign w:val="center"/>
          </w:tcPr>
          <w:p w14:paraId="4569F5BC" w14:textId="3B9888E1" w:rsidR="000176C6" w:rsidRPr="00142AB5" w:rsidRDefault="003E5AE8" w:rsidP="00DD206B">
            <w:pPr>
              <w:spacing w:after="0" w:line="360" w:lineRule="auto"/>
              <w:jc w:val="both"/>
              <w:rPr>
                <w:rFonts w:eastAsia="Times New Roman" w:cs="Times New Roman"/>
                <w:color w:val="000000"/>
                <w:sz w:val="22"/>
                <w:szCs w:val="22"/>
                <w:lang w:eastAsia="fr-FR"/>
              </w:rPr>
            </w:pPr>
            <w:proofErr w:type="gramStart"/>
            <w:r w:rsidRPr="00142AB5">
              <w:rPr>
                <w:rFonts w:cs="Times New Roman"/>
                <w:color w:val="000000"/>
                <w:sz w:val="22"/>
                <w:szCs w:val="22"/>
              </w:rPr>
              <w:t>f</w:t>
            </w:r>
            <w:r w:rsidR="000176C6" w:rsidRPr="00142AB5">
              <w:rPr>
                <w:rFonts w:cs="Times New Roman"/>
                <w:color w:val="000000"/>
                <w:sz w:val="22"/>
                <w:szCs w:val="22"/>
              </w:rPr>
              <w:t>aible</w:t>
            </w:r>
            <w:proofErr w:type="gramEnd"/>
          </w:p>
        </w:tc>
      </w:tr>
    </w:tbl>
    <w:p w14:paraId="6F4DF88E" w14:textId="1D454EA2" w:rsidR="00AF0357" w:rsidRPr="00142AB5" w:rsidRDefault="00AF0357" w:rsidP="00DD206B">
      <w:pPr>
        <w:widowControl w:val="0"/>
        <w:spacing w:after="0" w:line="360" w:lineRule="auto"/>
        <w:contextualSpacing/>
        <w:jc w:val="both"/>
        <w:rPr>
          <w:rFonts w:eastAsia="Times New Roman" w:cs="Times New Roman"/>
          <w:color w:val="000000"/>
          <w:sz w:val="22"/>
          <w:szCs w:val="22"/>
        </w:rPr>
      </w:pPr>
    </w:p>
    <w:p w14:paraId="1801D02E" w14:textId="189C256B" w:rsidR="00AF0357" w:rsidRPr="00142AB5" w:rsidRDefault="00AF0357" w:rsidP="00DD206B">
      <w:pPr>
        <w:widowControl w:val="0"/>
        <w:spacing w:after="0" w:line="360" w:lineRule="auto"/>
        <w:contextualSpacing/>
        <w:jc w:val="both"/>
        <w:rPr>
          <w:rFonts w:eastAsia="Times New Roman" w:cs="Times New Roman"/>
          <w:color w:val="000000"/>
          <w:sz w:val="22"/>
          <w:szCs w:val="22"/>
        </w:rPr>
      </w:pPr>
    </w:p>
    <w:p w14:paraId="39542FE5" w14:textId="6DBE3C9B" w:rsidR="00AF0357" w:rsidRPr="00142AB5" w:rsidRDefault="00AF0357" w:rsidP="00DD206B">
      <w:pPr>
        <w:widowControl w:val="0"/>
        <w:spacing w:after="0" w:line="360" w:lineRule="auto"/>
        <w:contextualSpacing/>
        <w:jc w:val="both"/>
        <w:rPr>
          <w:rFonts w:eastAsia="Times New Roman" w:cs="Times New Roman"/>
          <w:color w:val="000000"/>
          <w:sz w:val="22"/>
          <w:szCs w:val="22"/>
        </w:rPr>
      </w:pPr>
    </w:p>
    <w:tbl>
      <w:tblPr>
        <w:tblW w:w="10348" w:type="dxa"/>
        <w:tblInd w:w="-714" w:type="dxa"/>
        <w:tblCellMar>
          <w:left w:w="70" w:type="dxa"/>
          <w:right w:w="70" w:type="dxa"/>
        </w:tblCellMar>
        <w:tblLook w:val="04A0" w:firstRow="1" w:lastRow="0" w:firstColumn="1" w:lastColumn="0" w:noHBand="0" w:noVBand="1"/>
      </w:tblPr>
      <w:tblGrid>
        <w:gridCol w:w="2080"/>
        <w:gridCol w:w="6000"/>
        <w:gridCol w:w="2268"/>
      </w:tblGrid>
      <w:tr w:rsidR="00C31167" w:rsidRPr="00142AB5" w14:paraId="3A5470F9" w14:textId="77777777" w:rsidTr="00AF50E3">
        <w:trPr>
          <w:trHeight w:val="300"/>
        </w:trPr>
        <w:tc>
          <w:tcPr>
            <w:tcW w:w="2080" w:type="dxa"/>
            <w:vMerge w:val="restart"/>
            <w:tcBorders>
              <w:top w:val="single" w:sz="4" w:space="0" w:color="auto"/>
              <w:left w:val="single" w:sz="4" w:space="0" w:color="auto"/>
              <w:bottom w:val="single" w:sz="8" w:space="0" w:color="000000"/>
              <w:right w:val="single" w:sz="4" w:space="0" w:color="auto"/>
            </w:tcBorders>
            <w:shd w:val="clear" w:color="auto" w:fill="A5C9EB" w:themeFill="text2" w:themeFillTint="40"/>
            <w:noWrap/>
            <w:vAlign w:val="center"/>
            <w:hideMark/>
          </w:tcPr>
          <w:p w14:paraId="7797FCDA" w14:textId="77777777" w:rsidR="00C31167" w:rsidRPr="00142AB5" w:rsidRDefault="00C31167"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Secteurs assujettis</w:t>
            </w:r>
          </w:p>
        </w:tc>
        <w:tc>
          <w:tcPr>
            <w:tcW w:w="6000" w:type="dxa"/>
            <w:tcBorders>
              <w:top w:val="single" w:sz="4" w:space="0" w:color="auto"/>
              <w:left w:val="nil"/>
              <w:bottom w:val="single" w:sz="4" w:space="0" w:color="auto"/>
              <w:right w:val="single" w:sz="4" w:space="0" w:color="auto"/>
            </w:tcBorders>
            <w:vAlign w:val="bottom"/>
            <w:hideMark/>
          </w:tcPr>
          <w:p w14:paraId="1CCC39CC" w14:textId="77777777" w:rsidR="00C31167" w:rsidRPr="00142AB5" w:rsidRDefault="00C31167"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Secteur Bancaire</w:t>
            </w:r>
          </w:p>
        </w:tc>
        <w:tc>
          <w:tcPr>
            <w:tcW w:w="2268" w:type="dxa"/>
            <w:vMerge w:val="restart"/>
            <w:tcBorders>
              <w:top w:val="single" w:sz="4" w:space="0" w:color="auto"/>
              <w:left w:val="single" w:sz="4" w:space="0" w:color="auto"/>
              <w:right w:val="single" w:sz="4" w:space="0" w:color="auto"/>
            </w:tcBorders>
            <w:noWrap/>
            <w:vAlign w:val="center"/>
            <w:hideMark/>
          </w:tcPr>
          <w:p w14:paraId="52FC7655" w14:textId="720D76C2" w:rsidR="00C31167" w:rsidRPr="00142AB5" w:rsidRDefault="00C31167"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Canaux de BC</w:t>
            </w:r>
          </w:p>
        </w:tc>
      </w:tr>
      <w:tr w:rsidR="00C31167" w:rsidRPr="00142AB5" w14:paraId="4C5A1207" w14:textId="77777777" w:rsidTr="00AF50E3">
        <w:trPr>
          <w:trHeight w:val="300"/>
        </w:trPr>
        <w:tc>
          <w:tcPr>
            <w:tcW w:w="2080" w:type="dxa"/>
            <w:vMerge/>
            <w:tcBorders>
              <w:top w:val="nil"/>
              <w:left w:val="single" w:sz="4" w:space="0" w:color="auto"/>
              <w:bottom w:val="single" w:sz="8" w:space="0" w:color="000000"/>
              <w:right w:val="single" w:sz="4" w:space="0" w:color="auto"/>
            </w:tcBorders>
            <w:shd w:val="clear" w:color="auto" w:fill="A5C9EB" w:themeFill="text2" w:themeFillTint="40"/>
            <w:vAlign w:val="center"/>
            <w:hideMark/>
          </w:tcPr>
          <w:p w14:paraId="547ECEFB" w14:textId="77777777" w:rsidR="00C31167" w:rsidRPr="00142AB5" w:rsidRDefault="00C31167" w:rsidP="00DD206B">
            <w:pPr>
              <w:spacing w:after="0" w:line="360" w:lineRule="auto"/>
              <w:jc w:val="both"/>
              <w:rPr>
                <w:rFonts w:eastAsia="Times New Roman" w:cs="Times New Roman"/>
                <w:color w:val="000000"/>
                <w:sz w:val="22"/>
                <w:szCs w:val="22"/>
                <w:lang w:eastAsia="fr-FR"/>
              </w:rPr>
            </w:pPr>
          </w:p>
        </w:tc>
        <w:tc>
          <w:tcPr>
            <w:tcW w:w="6000" w:type="dxa"/>
            <w:tcBorders>
              <w:top w:val="nil"/>
              <w:left w:val="nil"/>
              <w:bottom w:val="single" w:sz="4" w:space="0" w:color="auto"/>
              <w:right w:val="single" w:sz="4" w:space="0" w:color="auto"/>
            </w:tcBorders>
            <w:vAlign w:val="bottom"/>
            <w:hideMark/>
          </w:tcPr>
          <w:p w14:paraId="1FD75AD0" w14:textId="77777777" w:rsidR="00C31167" w:rsidRPr="00142AB5" w:rsidRDefault="00C31167"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Secteur des titres et valeurs mobilières</w:t>
            </w:r>
          </w:p>
        </w:tc>
        <w:tc>
          <w:tcPr>
            <w:tcW w:w="2268" w:type="dxa"/>
            <w:vMerge/>
            <w:tcBorders>
              <w:left w:val="single" w:sz="4" w:space="0" w:color="auto"/>
              <w:right w:val="single" w:sz="4" w:space="0" w:color="auto"/>
            </w:tcBorders>
            <w:vAlign w:val="center"/>
            <w:hideMark/>
          </w:tcPr>
          <w:p w14:paraId="21D39078" w14:textId="6469D9C9" w:rsidR="00C31167" w:rsidRPr="00142AB5" w:rsidRDefault="00C31167" w:rsidP="00DD206B">
            <w:pPr>
              <w:spacing w:after="0" w:line="360" w:lineRule="auto"/>
              <w:jc w:val="both"/>
              <w:rPr>
                <w:rFonts w:eastAsia="Times New Roman" w:cs="Times New Roman"/>
                <w:color w:val="000000"/>
                <w:sz w:val="22"/>
                <w:szCs w:val="22"/>
                <w:lang w:eastAsia="fr-FR"/>
              </w:rPr>
            </w:pPr>
          </w:p>
        </w:tc>
      </w:tr>
      <w:tr w:rsidR="00C31167" w:rsidRPr="00142AB5" w14:paraId="214A7000" w14:textId="77777777" w:rsidTr="00AF50E3">
        <w:trPr>
          <w:trHeight w:val="300"/>
        </w:trPr>
        <w:tc>
          <w:tcPr>
            <w:tcW w:w="2080" w:type="dxa"/>
            <w:vMerge/>
            <w:tcBorders>
              <w:top w:val="nil"/>
              <w:left w:val="single" w:sz="4" w:space="0" w:color="auto"/>
              <w:bottom w:val="single" w:sz="8" w:space="0" w:color="000000"/>
              <w:right w:val="single" w:sz="4" w:space="0" w:color="auto"/>
            </w:tcBorders>
            <w:shd w:val="clear" w:color="auto" w:fill="A5C9EB" w:themeFill="text2" w:themeFillTint="40"/>
            <w:vAlign w:val="center"/>
            <w:hideMark/>
          </w:tcPr>
          <w:p w14:paraId="3672667E" w14:textId="77777777" w:rsidR="00C31167" w:rsidRPr="00142AB5" w:rsidRDefault="00C31167" w:rsidP="00DD206B">
            <w:pPr>
              <w:spacing w:after="0" w:line="360" w:lineRule="auto"/>
              <w:jc w:val="both"/>
              <w:rPr>
                <w:rFonts w:eastAsia="Times New Roman" w:cs="Times New Roman"/>
                <w:color w:val="000000"/>
                <w:sz w:val="22"/>
                <w:szCs w:val="22"/>
                <w:lang w:eastAsia="fr-FR"/>
              </w:rPr>
            </w:pPr>
          </w:p>
        </w:tc>
        <w:tc>
          <w:tcPr>
            <w:tcW w:w="6000" w:type="dxa"/>
            <w:tcBorders>
              <w:top w:val="nil"/>
              <w:left w:val="nil"/>
              <w:bottom w:val="single" w:sz="4" w:space="0" w:color="auto"/>
              <w:right w:val="single" w:sz="4" w:space="0" w:color="auto"/>
            </w:tcBorders>
            <w:vAlign w:val="bottom"/>
            <w:hideMark/>
          </w:tcPr>
          <w:p w14:paraId="5DD2C258" w14:textId="77777777" w:rsidR="00C31167" w:rsidRPr="00142AB5" w:rsidRDefault="00C31167"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Secteur des assurances</w:t>
            </w:r>
          </w:p>
        </w:tc>
        <w:tc>
          <w:tcPr>
            <w:tcW w:w="2268" w:type="dxa"/>
            <w:vMerge/>
            <w:tcBorders>
              <w:left w:val="single" w:sz="4" w:space="0" w:color="auto"/>
              <w:right w:val="single" w:sz="4" w:space="0" w:color="auto"/>
            </w:tcBorders>
            <w:vAlign w:val="center"/>
            <w:hideMark/>
          </w:tcPr>
          <w:p w14:paraId="53A2A2C0" w14:textId="06CAE790" w:rsidR="00C31167" w:rsidRPr="00142AB5" w:rsidRDefault="00C31167" w:rsidP="00DD206B">
            <w:pPr>
              <w:spacing w:after="0" w:line="360" w:lineRule="auto"/>
              <w:jc w:val="both"/>
              <w:rPr>
                <w:rFonts w:eastAsia="Times New Roman" w:cs="Times New Roman"/>
                <w:color w:val="000000"/>
                <w:sz w:val="22"/>
                <w:szCs w:val="22"/>
                <w:lang w:eastAsia="fr-FR"/>
              </w:rPr>
            </w:pPr>
          </w:p>
        </w:tc>
      </w:tr>
      <w:tr w:rsidR="00C31167" w:rsidRPr="00142AB5" w14:paraId="2919F5C6" w14:textId="77777777" w:rsidTr="00AF50E3">
        <w:trPr>
          <w:trHeight w:val="300"/>
        </w:trPr>
        <w:tc>
          <w:tcPr>
            <w:tcW w:w="2080" w:type="dxa"/>
            <w:vMerge/>
            <w:tcBorders>
              <w:top w:val="nil"/>
              <w:left w:val="single" w:sz="4" w:space="0" w:color="auto"/>
              <w:bottom w:val="single" w:sz="8" w:space="0" w:color="000000"/>
              <w:right w:val="single" w:sz="4" w:space="0" w:color="auto"/>
            </w:tcBorders>
            <w:shd w:val="clear" w:color="auto" w:fill="A5C9EB" w:themeFill="text2" w:themeFillTint="40"/>
            <w:vAlign w:val="center"/>
            <w:hideMark/>
          </w:tcPr>
          <w:p w14:paraId="3FB77815" w14:textId="77777777" w:rsidR="00C31167" w:rsidRPr="00142AB5" w:rsidRDefault="00C31167" w:rsidP="00DD206B">
            <w:pPr>
              <w:spacing w:after="0" w:line="360" w:lineRule="auto"/>
              <w:jc w:val="both"/>
              <w:rPr>
                <w:rFonts w:eastAsia="Times New Roman" w:cs="Times New Roman"/>
                <w:color w:val="000000"/>
                <w:sz w:val="22"/>
                <w:szCs w:val="22"/>
                <w:lang w:eastAsia="fr-FR"/>
              </w:rPr>
            </w:pPr>
          </w:p>
        </w:tc>
        <w:tc>
          <w:tcPr>
            <w:tcW w:w="6000" w:type="dxa"/>
            <w:tcBorders>
              <w:top w:val="nil"/>
              <w:left w:val="nil"/>
              <w:bottom w:val="single" w:sz="4" w:space="0" w:color="auto"/>
              <w:right w:val="single" w:sz="4" w:space="0" w:color="auto"/>
            </w:tcBorders>
            <w:vAlign w:val="bottom"/>
            <w:hideMark/>
          </w:tcPr>
          <w:p w14:paraId="7C868D6D" w14:textId="77777777" w:rsidR="00C31167" w:rsidRPr="00142AB5" w:rsidRDefault="00C31167"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Secteur des AIF</w:t>
            </w:r>
          </w:p>
        </w:tc>
        <w:tc>
          <w:tcPr>
            <w:tcW w:w="2268" w:type="dxa"/>
            <w:vMerge/>
            <w:tcBorders>
              <w:left w:val="single" w:sz="4" w:space="0" w:color="auto"/>
              <w:right w:val="single" w:sz="4" w:space="0" w:color="auto"/>
            </w:tcBorders>
            <w:vAlign w:val="center"/>
            <w:hideMark/>
          </w:tcPr>
          <w:p w14:paraId="1B01A4BF" w14:textId="732927B9" w:rsidR="00C31167" w:rsidRPr="00142AB5" w:rsidRDefault="00C31167" w:rsidP="00DD206B">
            <w:pPr>
              <w:spacing w:after="0" w:line="360" w:lineRule="auto"/>
              <w:jc w:val="both"/>
              <w:rPr>
                <w:rFonts w:eastAsia="Times New Roman" w:cs="Times New Roman"/>
                <w:color w:val="000000"/>
                <w:sz w:val="22"/>
                <w:szCs w:val="22"/>
                <w:lang w:eastAsia="fr-FR"/>
              </w:rPr>
            </w:pPr>
          </w:p>
        </w:tc>
      </w:tr>
      <w:tr w:rsidR="00C31167" w:rsidRPr="00142AB5" w14:paraId="3E9514FD" w14:textId="77777777" w:rsidTr="00AF50E3">
        <w:trPr>
          <w:trHeight w:val="300"/>
        </w:trPr>
        <w:tc>
          <w:tcPr>
            <w:tcW w:w="2080" w:type="dxa"/>
            <w:vMerge/>
            <w:tcBorders>
              <w:top w:val="nil"/>
              <w:left w:val="single" w:sz="4" w:space="0" w:color="auto"/>
              <w:bottom w:val="single" w:sz="8" w:space="0" w:color="000000"/>
              <w:right w:val="single" w:sz="4" w:space="0" w:color="auto"/>
            </w:tcBorders>
            <w:shd w:val="clear" w:color="auto" w:fill="A5C9EB" w:themeFill="text2" w:themeFillTint="40"/>
            <w:vAlign w:val="center"/>
            <w:hideMark/>
          </w:tcPr>
          <w:p w14:paraId="63F68438" w14:textId="77777777" w:rsidR="00C31167" w:rsidRPr="00142AB5" w:rsidRDefault="00C31167" w:rsidP="00DD206B">
            <w:pPr>
              <w:spacing w:after="0" w:line="360" w:lineRule="auto"/>
              <w:jc w:val="both"/>
              <w:rPr>
                <w:rFonts w:eastAsia="Times New Roman" w:cs="Times New Roman"/>
                <w:color w:val="000000"/>
                <w:sz w:val="22"/>
                <w:szCs w:val="22"/>
                <w:lang w:eastAsia="fr-FR"/>
              </w:rPr>
            </w:pPr>
          </w:p>
        </w:tc>
        <w:tc>
          <w:tcPr>
            <w:tcW w:w="6000" w:type="dxa"/>
            <w:tcBorders>
              <w:top w:val="nil"/>
              <w:left w:val="nil"/>
              <w:bottom w:val="single" w:sz="4" w:space="0" w:color="auto"/>
              <w:right w:val="single" w:sz="4" w:space="0" w:color="auto"/>
            </w:tcBorders>
            <w:vAlign w:val="bottom"/>
            <w:hideMark/>
          </w:tcPr>
          <w:p w14:paraId="033B49A4" w14:textId="77777777" w:rsidR="00C31167" w:rsidRPr="00142AB5" w:rsidRDefault="00C31167"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Secteur immobilier</w:t>
            </w:r>
          </w:p>
        </w:tc>
        <w:tc>
          <w:tcPr>
            <w:tcW w:w="2268" w:type="dxa"/>
            <w:vMerge/>
            <w:tcBorders>
              <w:left w:val="single" w:sz="4" w:space="0" w:color="auto"/>
              <w:right w:val="single" w:sz="4" w:space="0" w:color="auto"/>
            </w:tcBorders>
            <w:vAlign w:val="center"/>
            <w:hideMark/>
          </w:tcPr>
          <w:p w14:paraId="43841E8E" w14:textId="758810E5" w:rsidR="00C31167" w:rsidRPr="00142AB5" w:rsidRDefault="00C31167" w:rsidP="00DD206B">
            <w:pPr>
              <w:spacing w:after="0" w:line="360" w:lineRule="auto"/>
              <w:jc w:val="both"/>
              <w:rPr>
                <w:rFonts w:eastAsia="Times New Roman" w:cs="Times New Roman"/>
                <w:color w:val="000000"/>
                <w:sz w:val="22"/>
                <w:szCs w:val="22"/>
                <w:lang w:eastAsia="fr-FR"/>
              </w:rPr>
            </w:pPr>
          </w:p>
        </w:tc>
      </w:tr>
      <w:tr w:rsidR="00C31167" w:rsidRPr="00142AB5" w14:paraId="04B802C4" w14:textId="77777777" w:rsidTr="00AF50E3">
        <w:trPr>
          <w:trHeight w:val="300"/>
        </w:trPr>
        <w:tc>
          <w:tcPr>
            <w:tcW w:w="2080" w:type="dxa"/>
            <w:vMerge/>
            <w:tcBorders>
              <w:top w:val="nil"/>
              <w:left w:val="single" w:sz="4" w:space="0" w:color="auto"/>
              <w:bottom w:val="single" w:sz="8" w:space="0" w:color="000000"/>
              <w:right w:val="single" w:sz="4" w:space="0" w:color="auto"/>
            </w:tcBorders>
            <w:shd w:val="clear" w:color="auto" w:fill="A5C9EB" w:themeFill="text2" w:themeFillTint="40"/>
            <w:vAlign w:val="center"/>
            <w:hideMark/>
          </w:tcPr>
          <w:p w14:paraId="7852FADC" w14:textId="77777777" w:rsidR="00C31167" w:rsidRPr="00142AB5" w:rsidRDefault="00C31167" w:rsidP="00DD206B">
            <w:pPr>
              <w:spacing w:after="0" w:line="360" w:lineRule="auto"/>
              <w:jc w:val="both"/>
              <w:rPr>
                <w:rFonts w:eastAsia="Times New Roman" w:cs="Times New Roman"/>
                <w:color w:val="000000"/>
                <w:sz w:val="22"/>
                <w:szCs w:val="22"/>
                <w:lang w:eastAsia="fr-FR"/>
              </w:rPr>
            </w:pPr>
          </w:p>
        </w:tc>
        <w:tc>
          <w:tcPr>
            <w:tcW w:w="6000" w:type="dxa"/>
            <w:tcBorders>
              <w:top w:val="nil"/>
              <w:left w:val="nil"/>
              <w:bottom w:val="single" w:sz="4" w:space="0" w:color="auto"/>
              <w:right w:val="single" w:sz="4" w:space="0" w:color="auto"/>
            </w:tcBorders>
            <w:vAlign w:val="bottom"/>
            <w:hideMark/>
          </w:tcPr>
          <w:p w14:paraId="226EB8AB" w14:textId="77777777" w:rsidR="00C31167" w:rsidRPr="00142AB5" w:rsidRDefault="00C31167"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Secteur des Experts comptables</w:t>
            </w:r>
          </w:p>
        </w:tc>
        <w:tc>
          <w:tcPr>
            <w:tcW w:w="2268" w:type="dxa"/>
            <w:vMerge/>
            <w:tcBorders>
              <w:left w:val="single" w:sz="4" w:space="0" w:color="auto"/>
              <w:right w:val="single" w:sz="4" w:space="0" w:color="auto"/>
            </w:tcBorders>
            <w:vAlign w:val="center"/>
            <w:hideMark/>
          </w:tcPr>
          <w:p w14:paraId="39DA3F37" w14:textId="0D3CABD4" w:rsidR="00C31167" w:rsidRPr="00142AB5" w:rsidRDefault="00C31167" w:rsidP="00DD206B">
            <w:pPr>
              <w:spacing w:after="0" w:line="360" w:lineRule="auto"/>
              <w:jc w:val="both"/>
              <w:rPr>
                <w:rFonts w:eastAsia="Times New Roman" w:cs="Times New Roman"/>
                <w:color w:val="000000"/>
                <w:sz w:val="22"/>
                <w:szCs w:val="22"/>
                <w:lang w:eastAsia="fr-FR"/>
              </w:rPr>
            </w:pPr>
          </w:p>
        </w:tc>
      </w:tr>
      <w:tr w:rsidR="00C31167" w:rsidRPr="00142AB5" w14:paraId="1EF51581" w14:textId="77777777" w:rsidTr="00AF50E3">
        <w:trPr>
          <w:trHeight w:val="315"/>
        </w:trPr>
        <w:tc>
          <w:tcPr>
            <w:tcW w:w="2080" w:type="dxa"/>
            <w:vMerge/>
            <w:tcBorders>
              <w:top w:val="nil"/>
              <w:left w:val="single" w:sz="4" w:space="0" w:color="auto"/>
              <w:bottom w:val="single" w:sz="4" w:space="0" w:color="auto"/>
              <w:right w:val="single" w:sz="4" w:space="0" w:color="auto"/>
            </w:tcBorders>
            <w:shd w:val="clear" w:color="auto" w:fill="A5C9EB" w:themeFill="text2" w:themeFillTint="40"/>
            <w:vAlign w:val="center"/>
            <w:hideMark/>
          </w:tcPr>
          <w:p w14:paraId="224ECE41" w14:textId="77777777" w:rsidR="00C31167" w:rsidRPr="00142AB5" w:rsidRDefault="00C31167" w:rsidP="00DD206B">
            <w:pPr>
              <w:spacing w:after="0" w:line="360" w:lineRule="auto"/>
              <w:jc w:val="both"/>
              <w:rPr>
                <w:rFonts w:eastAsia="Times New Roman" w:cs="Times New Roman"/>
                <w:color w:val="000000"/>
                <w:sz w:val="22"/>
                <w:szCs w:val="22"/>
                <w:lang w:eastAsia="fr-FR"/>
              </w:rPr>
            </w:pPr>
          </w:p>
        </w:tc>
        <w:tc>
          <w:tcPr>
            <w:tcW w:w="6000" w:type="dxa"/>
            <w:tcBorders>
              <w:top w:val="nil"/>
              <w:left w:val="nil"/>
              <w:bottom w:val="single" w:sz="4" w:space="0" w:color="auto"/>
              <w:right w:val="single" w:sz="4" w:space="0" w:color="auto"/>
            </w:tcBorders>
            <w:vAlign w:val="bottom"/>
            <w:hideMark/>
          </w:tcPr>
          <w:p w14:paraId="444B5E2B" w14:textId="77777777" w:rsidR="00C31167" w:rsidRPr="00142AB5" w:rsidRDefault="00C31167" w:rsidP="00DD206B">
            <w:pPr>
              <w:spacing w:after="0" w:line="360" w:lineRule="auto"/>
              <w:jc w:val="both"/>
              <w:rPr>
                <w:rFonts w:eastAsia="Times New Roman" w:cs="Times New Roman"/>
                <w:color w:val="000000"/>
                <w:sz w:val="22"/>
                <w:szCs w:val="22"/>
                <w:lang w:eastAsia="fr-FR"/>
              </w:rPr>
            </w:pPr>
            <w:r w:rsidRPr="00142AB5">
              <w:rPr>
                <w:rFonts w:eastAsia="Times New Roman" w:cs="Times New Roman"/>
                <w:color w:val="000000"/>
                <w:sz w:val="22"/>
                <w:szCs w:val="22"/>
                <w:lang w:eastAsia="fr-FR"/>
              </w:rPr>
              <w:t>Secteur des Notaires</w:t>
            </w:r>
          </w:p>
        </w:tc>
        <w:tc>
          <w:tcPr>
            <w:tcW w:w="2268" w:type="dxa"/>
            <w:vMerge/>
            <w:tcBorders>
              <w:left w:val="single" w:sz="4" w:space="0" w:color="auto"/>
              <w:right w:val="single" w:sz="4" w:space="0" w:color="auto"/>
            </w:tcBorders>
            <w:vAlign w:val="center"/>
            <w:hideMark/>
          </w:tcPr>
          <w:p w14:paraId="324BBF42" w14:textId="42474DA8" w:rsidR="00C31167" w:rsidRPr="00142AB5" w:rsidRDefault="00C31167" w:rsidP="00DD206B">
            <w:pPr>
              <w:spacing w:after="0" w:line="360" w:lineRule="auto"/>
              <w:jc w:val="both"/>
              <w:rPr>
                <w:rFonts w:eastAsia="Times New Roman" w:cs="Times New Roman"/>
                <w:color w:val="000000"/>
                <w:sz w:val="22"/>
                <w:szCs w:val="22"/>
                <w:lang w:eastAsia="fr-FR"/>
              </w:rPr>
            </w:pPr>
          </w:p>
        </w:tc>
      </w:tr>
      <w:tr w:rsidR="00C31167" w:rsidRPr="00142AB5" w14:paraId="35215B9F" w14:textId="77777777" w:rsidTr="00AF50E3">
        <w:trPr>
          <w:trHeight w:val="315"/>
        </w:trPr>
        <w:tc>
          <w:tcPr>
            <w:tcW w:w="2080" w:type="dxa"/>
            <w:tcBorders>
              <w:top w:val="single" w:sz="4" w:space="0" w:color="auto"/>
              <w:left w:val="single" w:sz="4" w:space="0" w:color="auto"/>
              <w:bottom w:val="single" w:sz="4" w:space="0" w:color="auto"/>
              <w:right w:val="single" w:sz="4" w:space="0" w:color="auto"/>
            </w:tcBorders>
            <w:shd w:val="clear" w:color="auto" w:fill="A5C9EB" w:themeFill="text2" w:themeFillTint="40"/>
            <w:vAlign w:val="center"/>
          </w:tcPr>
          <w:p w14:paraId="3B46B720" w14:textId="77777777" w:rsidR="00C31167" w:rsidRPr="00142AB5" w:rsidRDefault="00C31167" w:rsidP="00DD206B">
            <w:pPr>
              <w:spacing w:after="0" w:line="360" w:lineRule="auto"/>
              <w:jc w:val="both"/>
              <w:rPr>
                <w:rFonts w:eastAsia="Times New Roman" w:cs="Times New Roman"/>
                <w:color w:val="000000"/>
                <w:sz w:val="22"/>
                <w:szCs w:val="22"/>
                <w:lang w:eastAsia="fr-FR"/>
              </w:rPr>
            </w:pPr>
            <w:r w:rsidRPr="00142AB5">
              <w:rPr>
                <w:rFonts w:cs="Times New Roman"/>
                <w:color w:val="000000"/>
                <w:sz w:val="22"/>
                <w:szCs w:val="22"/>
              </w:rPr>
              <w:t>Personnes morales</w:t>
            </w:r>
          </w:p>
        </w:tc>
        <w:tc>
          <w:tcPr>
            <w:tcW w:w="6000" w:type="dxa"/>
            <w:tcBorders>
              <w:top w:val="single" w:sz="4" w:space="0" w:color="auto"/>
              <w:left w:val="nil"/>
              <w:bottom w:val="single" w:sz="4" w:space="0" w:color="auto"/>
              <w:right w:val="single" w:sz="4" w:space="0" w:color="auto"/>
            </w:tcBorders>
            <w:vAlign w:val="center"/>
          </w:tcPr>
          <w:p w14:paraId="22EC287C" w14:textId="77777777" w:rsidR="00C31167" w:rsidRPr="00142AB5" w:rsidRDefault="00C31167" w:rsidP="00DD206B">
            <w:pPr>
              <w:spacing w:after="0" w:line="360" w:lineRule="auto"/>
              <w:jc w:val="both"/>
              <w:rPr>
                <w:rFonts w:eastAsia="Times New Roman" w:cs="Times New Roman"/>
                <w:color w:val="000000"/>
                <w:sz w:val="22"/>
                <w:szCs w:val="22"/>
                <w:lang w:eastAsia="fr-FR"/>
              </w:rPr>
            </w:pPr>
            <w:r w:rsidRPr="00142AB5">
              <w:rPr>
                <w:rFonts w:cs="Times New Roman"/>
                <w:color w:val="000000"/>
                <w:sz w:val="22"/>
                <w:szCs w:val="22"/>
              </w:rPr>
              <w:t>Personnes morales</w:t>
            </w:r>
          </w:p>
        </w:tc>
        <w:tc>
          <w:tcPr>
            <w:tcW w:w="2268" w:type="dxa"/>
            <w:vMerge/>
            <w:tcBorders>
              <w:left w:val="single" w:sz="4" w:space="0" w:color="auto"/>
              <w:bottom w:val="single" w:sz="4" w:space="0" w:color="auto"/>
              <w:right w:val="single" w:sz="4" w:space="0" w:color="auto"/>
            </w:tcBorders>
            <w:vAlign w:val="center"/>
          </w:tcPr>
          <w:p w14:paraId="3869279C" w14:textId="7327D998" w:rsidR="00C31167" w:rsidRPr="00142AB5" w:rsidRDefault="00C31167" w:rsidP="00DD206B">
            <w:pPr>
              <w:spacing w:after="0" w:line="360" w:lineRule="auto"/>
              <w:jc w:val="both"/>
              <w:rPr>
                <w:rFonts w:eastAsia="Times New Roman" w:cs="Times New Roman"/>
                <w:color w:val="000000"/>
                <w:sz w:val="22"/>
                <w:szCs w:val="22"/>
                <w:lang w:eastAsia="fr-FR"/>
              </w:rPr>
            </w:pPr>
          </w:p>
        </w:tc>
      </w:tr>
    </w:tbl>
    <w:p w14:paraId="7BD6B984" w14:textId="77777777" w:rsidR="00122C05" w:rsidRPr="00142AB5" w:rsidRDefault="00122C05" w:rsidP="00DD206B">
      <w:pPr>
        <w:widowControl w:val="0"/>
        <w:spacing w:after="0" w:line="360" w:lineRule="auto"/>
        <w:contextualSpacing/>
        <w:jc w:val="both"/>
        <w:rPr>
          <w:rFonts w:eastAsia="Times New Roman" w:cs="Times New Roman"/>
          <w:color w:val="000000"/>
          <w:sz w:val="22"/>
          <w:szCs w:val="22"/>
        </w:rPr>
      </w:pPr>
    </w:p>
    <w:p w14:paraId="3627ED09" w14:textId="34BD4D4F" w:rsidR="00AF0357" w:rsidRPr="00142AB5" w:rsidRDefault="00AF0357" w:rsidP="00DD206B">
      <w:pPr>
        <w:widowControl w:val="0"/>
        <w:spacing w:after="0" w:line="360" w:lineRule="auto"/>
        <w:contextualSpacing/>
        <w:jc w:val="both"/>
        <w:rPr>
          <w:rFonts w:eastAsia="Times New Roman" w:cs="Times New Roman"/>
          <w:color w:val="000000"/>
          <w:sz w:val="22"/>
          <w:szCs w:val="22"/>
        </w:rPr>
      </w:pPr>
    </w:p>
    <w:p w14:paraId="5D4B9DC6" w14:textId="38F0991C" w:rsidR="00AF0357" w:rsidRPr="00114283" w:rsidRDefault="00AF0357" w:rsidP="00DD206B">
      <w:pPr>
        <w:widowControl w:val="0"/>
        <w:spacing w:after="0" w:line="360" w:lineRule="auto"/>
        <w:contextualSpacing/>
        <w:jc w:val="both"/>
        <w:rPr>
          <w:rFonts w:eastAsia="Times New Roman" w:cs="Times New Roman"/>
          <w:color w:val="000000"/>
          <w:sz w:val="24"/>
          <w:szCs w:val="24"/>
        </w:rPr>
      </w:pPr>
    </w:p>
    <w:p w14:paraId="012E9B65" w14:textId="740C2B75" w:rsidR="00AF0357" w:rsidRPr="00114283" w:rsidRDefault="00AF0357" w:rsidP="00DD206B">
      <w:pPr>
        <w:widowControl w:val="0"/>
        <w:spacing w:after="0" w:line="360" w:lineRule="auto"/>
        <w:contextualSpacing/>
        <w:jc w:val="both"/>
        <w:rPr>
          <w:rFonts w:eastAsia="Times New Roman" w:cs="Times New Roman"/>
          <w:color w:val="000000"/>
          <w:sz w:val="24"/>
          <w:szCs w:val="24"/>
        </w:rPr>
      </w:pPr>
    </w:p>
    <w:p w14:paraId="11EC296F" w14:textId="2BFE44FE" w:rsidR="00AF0357" w:rsidRPr="00114283" w:rsidRDefault="00AF0357" w:rsidP="00DD206B">
      <w:pPr>
        <w:widowControl w:val="0"/>
        <w:spacing w:after="0" w:line="360" w:lineRule="auto"/>
        <w:contextualSpacing/>
        <w:jc w:val="both"/>
        <w:rPr>
          <w:rFonts w:eastAsia="Times New Roman" w:cs="Times New Roman"/>
          <w:color w:val="000000"/>
          <w:sz w:val="24"/>
          <w:szCs w:val="24"/>
        </w:rPr>
      </w:pPr>
    </w:p>
    <w:p w14:paraId="54A98A8E" w14:textId="073551F7" w:rsidR="00AF0357" w:rsidRPr="00114283" w:rsidRDefault="00AF0357" w:rsidP="00DD206B">
      <w:pPr>
        <w:widowControl w:val="0"/>
        <w:spacing w:after="0" w:line="360" w:lineRule="auto"/>
        <w:contextualSpacing/>
        <w:jc w:val="both"/>
        <w:rPr>
          <w:rFonts w:eastAsia="Times New Roman" w:cs="Times New Roman"/>
          <w:color w:val="000000"/>
          <w:sz w:val="24"/>
          <w:szCs w:val="24"/>
        </w:rPr>
      </w:pPr>
    </w:p>
    <w:p w14:paraId="6E7E636D" w14:textId="01B948C2" w:rsidR="00AF0357" w:rsidRPr="008F704B" w:rsidRDefault="00AF0357" w:rsidP="00DD206B">
      <w:pPr>
        <w:widowControl w:val="0"/>
        <w:spacing w:after="0" w:line="360" w:lineRule="auto"/>
        <w:contextualSpacing/>
        <w:jc w:val="both"/>
        <w:rPr>
          <w:rFonts w:eastAsia="Times New Roman" w:cs="Times New Roman"/>
          <w:color w:val="000000"/>
          <w:sz w:val="22"/>
          <w:szCs w:val="22"/>
        </w:rPr>
      </w:pPr>
    </w:p>
    <w:p w14:paraId="3C28ED34" w14:textId="59A2A6B3" w:rsidR="00AF0357" w:rsidRPr="008F704B" w:rsidRDefault="00AF0357" w:rsidP="00DD206B">
      <w:pPr>
        <w:widowControl w:val="0"/>
        <w:spacing w:after="0" w:line="360" w:lineRule="auto"/>
        <w:contextualSpacing/>
        <w:jc w:val="both"/>
        <w:rPr>
          <w:rFonts w:eastAsia="Times New Roman" w:cs="Times New Roman"/>
          <w:color w:val="000000"/>
          <w:sz w:val="22"/>
          <w:szCs w:val="22"/>
        </w:rPr>
      </w:pPr>
      <w:r w:rsidRPr="008F704B">
        <w:rPr>
          <w:rFonts w:eastAsia="Times New Roman" w:cs="Times New Roman"/>
          <w:color w:val="000000"/>
          <w:sz w:val="22"/>
          <w:szCs w:val="22"/>
        </w:rPr>
        <w:lastRenderedPageBreak/>
        <w:t>ANNEXE :</w:t>
      </w:r>
    </w:p>
    <w:p w14:paraId="4671AE04" w14:textId="00E44CA8" w:rsidR="00F056FF" w:rsidRPr="008F704B" w:rsidRDefault="008D74C9" w:rsidP="00DD206B">
      <w:pPr>
        <w:widowControl w:val="0"/>
        <w:spacing w:after="0" w:line="360" w:lineRule="auto"/>
        <w:contextualSpacing/>
        <w:jc w:val="both"/>
        <w:rPr>
          <w:rFonts w:cs="Times New Roman"/>
          <w:sz w:val="22"/>
          <w:szCs w:val="22"/>
        </w:rPr>
      </w:pPr>
      <w:r w:rsidRPr="008F704B">
        <w:rPr>
          <w:rFonts w:cs="Times New Roman"/>
          <w:sz w:val="22"/>
          <w:szCs w:val="22"/>
        </w:rPr>
        <w:object w:dxaOrig="1309" w:dyaOrig="850" w14:anchorId="405E23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8pt;height:42.6pt" o:ole="">
            <v:imagedata r:id="rId16" o:title=""/>
          </v:shape>
          <o:OLEObject Type="Embed" ProgID="Package" ShapeID="_x0000_i1025" DrawAspect="Icon" ObjectID="_1823939640" r:id="rId17"/>
        </w:object>
      </w:r>
      <w:bookmarkStart w:id="30" w:name="_MON_1821684878"/>
      <w:bookmarkEnd w:id="30"/>
      <w:r w:rsidR="00762DDA">
        <w:rPr>
          <w:rFonts w:cs="Times New Roman"/>
          <w:sz w:val="22"/>
          <w:szCs w:val="22"/>
        </w:rPr>
        <w:object w:dxaOrig="1520" w:dyaOrig="985" w14:anchorId="1359556A">
          <v:shape id="_x0000_i1026" type="#_x0000_t75" style="width:76.2pt;height:49.2pt" o:ole="">
            <v:imagedata r:id="rId18" o:title=""/>
          </v:shape>
          <o:OLEObject Type="Embed" ProgID="Word.Document.12" ShapeID="_x0000_i1026" DrawAspect="Icon" ObjectID="_1823939641" r:id="rId19">
            <o:FieldCodes>\s</o:FieldCodes>
          </o:OLEObject>
        </w:object>
      </w:r>
    </w:p>
    <w:sectPr w:rsidR="00F056FF" w:rsidRPr="008F704B" w:rsidSect="004838E6">
      <w:pgSz w:w="11906" w:h="16838" w:code="9"/>
      <w:pgMar w:top="1440"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1809DF" w14:textId="77777777" w:rsidR="004838E6" w:rsidRDefault="004838E6" w:rsidP="00EC1F50">
      <w:pPr>
        <w:spacing w:after="0" w:line="240" w:lineRule="auto"/>
      </w:pPr>
      <w:r>
        <w:separator/>
      </w:r>
    </w:p>
  </w:endnote>
  <w:endnote w:type="continuationSeparator" w:id="0">
    <w:p w14:paraId="70176A37" w14:textId="77777777" w:rsidR="004838E6" w:rsidRDefault="004838E6" w:rsidP="00EC1F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HelveticaNeueLT Std Med">
    <w:altName w:val="Arial"/>
    <w:charset w:val="00"/>
    <w:family w:val="swiss"/>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8773014"/>
      <w:docPartObj>
        <w:docPartGallery w:val="Page Numbers (Bottom of Page)"/>
        <w:docPartUnique/>
      </w:docPartObj>
    </w:sdtPr>
    <w:sdtContent>
      <w:p w14:paraId="67B30815" w14:textId="77777777" w:rsidR="0097372B" w:rsidRDefault="0097372B">
        <w:pPr>
          <w:pStyle w:val="Pieddepage"/>
          <w:jc w:val="right"/>
        </w:pPr>
        <w:r>
          <w:fldChar w:fldCharType="begin"/>
        </w:r>
        <w:r>
          <w:instrText>PAGE   \* MERGEFORMAT</w:instrText>
        </w:r>
        <w:r>
          <w:fldChar w:fldCharType="separate"/>
        </w:r>
        <w:r w:rsidR="00715CC2">
          <w:rPr>
            <w:noProof/>
          </w:rPr>
          <w:t>16</w:t>
        </w:r>
        <w:r>
          <w:fldChar w:fldCharType="end"/>
        </w:r>
      </w:p>
    </w:sdtContent>
  </w:sdt>
  <w:p w14:paraId="5A49EDD6" w14:textId="77777777" w:rsidR="0097372B" w:rsidRDefault="0097372B">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3121B" w14:textId="77777777" w:rsidR="0097372B" w:rsidRDefault="0097372B">
    <w:pPr>
      <w:pStyle w:val="Pieddepage"/>
      <w:jc w:val="right"/>
    </w:pPr>
  </w:p>
  <w:p w14:paraId="0F4A7605" w14:textId="77777777" w:rsidR="0097372B" w:rsidRDefault="0097372B">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0842064"/>
      <w:docPartObj>
        <w:docPartGallery w:val="Page Numbers (Bottom of Page)"/>
        <w:docPartUnique/>
      </w:docPartObj>
    </w:sdtPr>
    <w:sdtContent>
      <w:p w14:paraId="43F445B6" w14:textId="77777777" w:rsidR="00587F8B" w:rsidRDefault="00587F8B">
        <w:pPr>
          <w:pStyle w:val="Pieddepage"/>
          <w:jc w:val="right"/>
        </w:pPr>
        <w:r>
          <w:fldChar w:fldCharType="begin"/>
        </w:r>
        <w:r>
          <w:instrText>PAGE   \* MERGEFORMAT</w:instrText>
        </w:r>
        <w:r>
          <w:fldChar w:fldCharType="separate"/>
        </w:r>
        <w:r>
          <w:rPr>
            <w:noProof/>
          </w:rPr>
          <w:t>16</w:t>
        </w:r>
        <w:r>
          <w:fldChar w:fldCharType="end"/>
        </w:r>
      </w:p>
    </w:sdtContent>
  </w:sdt>
  <w:p w14:paraId="0D233B60" w14:textId="77777777" w:rsidR="00587F8B" w:rsidRDefault="00587F8B">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087D1" w14:textId="77777777" w:rsidR="00587F8B" w:rsidRDefault="00587F8B">
    <w:pPr>
      <w:pStyle w:val="Pieddepage"/>
      <w:jc w:val="right"/>
    </w:pPr>
  </w:p>
  <w:p w14:paraId="0B9735A5" w14:textId="77777777" w:rsidR="00587F8B" w:rsidRDefault="00587F8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0FDF53" w14:textId="77777777" w:rsidR="004838E6" w:rsidRDefault="004838E6" w:rsidP="00EC1F50">
      <w:pPr>
        <w:spacing w:after="0" w:line="240" w:lineRule="auto"/>
      </w:pPr>
      <w:r>
        <w:separator/>
      </w:r>
    </w:p>
  </w:footnote>
  <w:footnote w:type="continuationSeparator" w:id="0">
    <w:p w14:paraId="18F96704" w14:textId="77777777" w:rsidR="004838E6" w:rsidRDefault="004838E6" w:rsidP="00EC1F50">
      <w:pPr>
        <w:spacing w:after="0" w:line="240" w:lineRule="auto"/>
      </w:pPr>
      <w:r>
        <w:continuationSeparator/>
      </w:r>
    </w:p>
  </w:footnote>
  <w:footnote w:id="1">
    <w:p w14:paraId="4D86BD5C" w14:textId="4DCB55FC" w:rsidR="000018A0" w:rsidRPr="009D0284" w:rsidRDefault="000018A0" w:rsidP="000018A0">
      <w:pPr>
        <w:pStyle w:val="Notedebasdepage"/>
        <w:rPr>
          <w:lang w:val="fr-CI"/>
        </w:rPr>
      </w:pPr>
      <w:r>
        <w:rPr>
          <w:rStyle w:val="Appelnotedebasdep"/>
        </w:rPr>
        <w:footnoteRef/>
      </w:r>
      <w:r>
        <w:t xml:space="preserve"> </w:t>
      </w:r>
      <w:r w:rsidRPr="009D0284">
        <w:rPr>
          <w:sz w:val="18"/>
          <w:szCs w:val="18"/>
        </w:rPr>
        <w:t>L’on entend par AIF toutes institutions financières, autres que les institutions du secteur bancaire, du secteur des valeurs mobilières et du secteur des assurances. Il s’agit aussi bien des institutions financières réglementées que les institutions financières non-réglementées, ayant un impact sur l’activité économique.</w:t>
      </w:r>
      <w:r>
        <w:rPr>
          <w:sz w:val="18"/>
          <w:szCs w:val="18"/>
        </w:rPr>
        <w:t xml:space="preserve"> (Voir Rapport de l’ENR page 70)</w:t>
      </w:r>
    </w:p>
  </w:footnote>
  <w:footnote w:id="2">
    <w:p w14:paraId="4C6D216B" w14:textId="333FC35B" w:rsidR="006D02EF" w:rsidRPr="009D0284" w:rsidRDefault="006D02EF">
      <w:pPr>
        <w:pStyle w:val="Notedebasdepage"/>
        <w:rPr>
          <w:lang w:val="fr-CI"/>
        </w:rPr>
      </w:pPr>
      <w:r>
        <w:rPr>
          <w:rStyle w:val="Appelnotedebasdep"/>
        </w:rPr>
        <w:footnoteRef/>
      </w:r>
      <w:r>
        <w:t xml:space="preserve"> Le risque est l</w:t>
      </w:r>
      <w:r w:rsidR="00664830">
        <w:t>a</w:t>
      </w:r>
      <w:r>
        <w:t xml:space="preserve"> combinaison de </w:t>
      </w:r>
      <w:r w:rsidR="00664830">
        <w:t>menace et de la vulnérabilité.</w:t>
      </w:r>
    </w:p>
  </w:footnote>
  <w:footnote w:id="3">
    <w:p w14:paraId="45C4D348" w14:textId="7A2EBD7C" w:rsidR="0032019A" w:rsidRPr="009D0284" w:rsidRDefault="0032019A" w:rsidP="003A5FB4">
      <w:pPr>
        <w:pStyle w:val="Notedebasdepage"/>
        <w:rPr>
          <w:lang w:val="fr-CI"/>
        </w:rPr>
      </w:pPr>
      <w:r>
        <w:rPr>
          <w:rStyle w:val="Appelnotedebasdep"/>
        </w:rPr>
        <w:footnoteRef/>
      </w:r>
      <w:r>
        <w:t xml:space="preserve"> </w:t>
      </w:r>
      <w:r w:rsidR="003A5FB4" w:rsidRPr="003A5FB4">
        <w:t>Cette méthodologie n’est pas incompatible avec celle de la BM</w:t>
      </w:r>
      <w:r w:rsidR="003A5FB4">
        <w:t xml:space="preserve">, dans la mesure </w:t>
      </w:r>
      <w:r w:rsidR="009D0284">
        <w:t>où</w:t>
      </w:r>
      <w:r w:rsidR="003A5FB4">
        <w:t xml:space="preserve"> elles </w:t>
      </w:r>
      <w:r w:rsidR="009D0284">
        <w:t>visent faire</w:t>
      </w:r>
      <w:r w:rsidR="003A5FB4">
        <w:t xml:space="preserve"> appliquer de l’approche basé sur le risque.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9B5F00" w14:textId="00984BFC" w:rsidR="00CA6F7D" w:rsidRPr="00657511" w:rsidRDefault="00657511" w:rsidP="00CA6F7D">
    <w:pPr>
      <w:pStyle w:val="En-tte"/>
      <w:pBdr>
        <w:top w:val="single" w:sz="4" w:space="1" w:color="auto"/>
        <w:left w:val="single" w:sz="4" w:space="4" w:color="auto"/>
        <w:bottom w:val="single" w:sz="4" w:space="1" w:color="auto"/>
        <w:right w:val="single" w:sz="4" w:space="4" w:color="auto"/>
      </w:pBdr>
      <w:shd w:val="clear" w:color="auto" w:fill="47D459" w:themeFill="accent3" w:themeFillTint="99"/>
      <w:jc w:val="center"/>
      <w:rPr>
        <w:color w:val="FFFFFF" w:themeColor="background1"/>
      </w:rPr>
    </w:pPr>
    <w:r w:rsidRPr="00657511">
      <w:rPr>
        <w:color w:val="FFFFFF" w:themeColor="background1"/>
      </w:rPr>
      <w:t xml:space="preserve">Mise </w:t>
    </w:r>
    <w:r>
      <w:rPr>
        <w:color w:val="FFFFFF" w:themeColor="background1"/>
      </w:rPr>
      <w:t>à</w:t>
    </w:r>
    <w:r w:rsidRPr="00657511">
      <w:rPr>
        <w:color w:val="FFFFFF" w:themeColor="background1"/>
      </w:rPr>
      <w:t xml:space="preserve"> jour de l’</w:t>
    </w:r>
    <w:r w:rsidR="004B739D">
      <w:rPr>
        <w:color w:val="FFFFFF" w:themeColor="background1"/>
      </w:rPr>
      <w:t>é</w:t>
    </w:r>
    <w:r w:rsidRPr="00657511">
      <w:rPr>
        <w:color w:val="FFFFFF" w:themeColor="background1"/>
      </w:rPr>
      <w:t>valuation de la menace de BC 202</w:t>
    </w:r>
    <w:r w:rsidR="00CA6F7D">
      <w:rPr>
        <w:color w:val="FFFFFF" w:themeColor="background1"/>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E5B86" w14:textId="13AF48E3" w:rsidR="002E22F1" w:rsidRPr="00657511" w:rsidRDefault="002E22F1" w:rsidP="002E22F1">
    <w:pPr>
      <w:pStyle w:val="En-tte"/>
      <w:pBdr>
        <w:top w:val="single" w:sz="4" w:space="1" w:color="auto"/>
        <w:left w:val="single" w:sz="4" w:space="4" w:color="auto"/>
        <w:bottom w:val="single" w:sz="4" w:space="1" w:color="auto"/>
        <w:right w:val="single" w:sz="4" w:space="4" w:color="auto"/>
      </w:pBdr>
      <w:shd w:val="clear" w:color="auto" w:fill="47D459" w:themeFill="accent3" w:themeFillTint="99"/>
      <w:jc w:val="center"/>
      <w:rPr>
        <w:color w:val="FFFFFF" w:themeColor="background1"/>
      </w:rPr>
    </w:pPr>
    <w:r w:rsidRPr="00657511">
      <w:rPr>
        <w:color w:val="FFFFFF" w:themeColor="background1"/>
      </w:rPr>
      <w:t xml:space="preserve">Mise </w:t>
    </w:r>
    <w:r>
      <w:rPr>
        <w:color w:val="FFFFFF" w:themeColor="background1"/>
      </w:rPr>
      <w:t>à</w:t>
    </w:r>
    <w:r w:rsidRPr="00657511">
      <w:rPr>
        <w:color w:val="FFFFFF" w:themeColor="background1"/>
      </w:rPr>
      <w:t xml:space="preserve"> jour de l’</w:t>
    </w:r>
    <w:r w:rsidR="001175DD" w:rsidRPr="00657511">
      <w:rPr>
        <w:color w:val="FFFFFF" w:themeColor="background1"/>
      </w:rPr>
      <w:t>évaluation</w:t>
    </w:r>
    <w:r w:rsidRPr="00657511">
      <w:rPr>
        <w:color w:val="FFFFFF" w:themeColor="background1"/>
      </w:rPr>
      <w:t xml:space="preserve"> de la menace de BC 202</w:t>
    </w:r>
    <w:r w:rsidR="00CA6F7D">
      <w:rPr>
        <w:color w:val="FFFFFF" w:themeColor="background1"/>
      </w:rPr>
      <w:t>5</w:t>
    </w:r>
  </w:p>
  <w:p w14:paraId="3A6D7CD1" w14:textId="77777777" w:rsidR="002E22F1" w:rsidRDefault="002E22F1">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41AEF" w14:textId="4EB60EB9" w:rsidR="00587F8B" w:rsidRPr="00657511" w:rsidRDefault="00587F8B" w:rsidP="00657511">
    <w:pPr>
      <w:pStyle w:val="En-tte"/>
      <w:pBdr>
        <w:top w:val="single" w:sz="4" w:space="1" w:color="auto"/>
        <w:left w:val="single" w:sz="4" w:space="4" w:color="auto"/>
        <w:bottom w:val="single" w:sz="4" w:space="1" w:color="auto"/>
        <w:right w:val="single" w:sz="4" w:space="4" w:color="auto"/>
      </w:pBdr>
      <w:shd w:val="clear" w:color="auto" w:fill="47D459" w:themeFill="accent3" w:themeFillTint="99"/>
      <w:jc w:val="center"/>
      <w:rPr>
        <w:color w:val="FFFFFF" w:themeColor="background1"/>
      </w:rPr>
    </w:pPr>
    <w:r w:rsidRPr="00657511">
      <w:rPr>
        <w:color w:val="FFFFFF" w:themeColor="background1"/>
      </w:rPr>
      <w:t xml:space="preserve">Mise </w:t>
    </w:r>
    <w:r>
      <w:rPr>
        <w:color w:val="FFFFFF" w:themeColor="background1"/>
      </w:rPr>
      <w:t>à</w:t>
    </w:r>
    <w:r w:rsidRPr="00657511">
      <w:rPr>
        <w:color w:val="FFFFFF" w:themeColor="background1"/>
      </w:rPr>
      <w:t xml:space="preserve"> jour de l’</w:t>
    </w:r>
    <w:r>
      <w:rPr>
        <w:color w:val="FFFFFF" w:themeColor="background1"/>
      </w:rPr>
      <w:t>é</w:t>
    </w:r>
    <w:r w:rsidRPr="00657511">
      <w:rPr>
        <w:color w:val="FFFFFF" w:themeColor="background1"/>
      </w:rPr>
      <w:t>valuation de la menace de BC 202</w:t>
    </w:r>
    <w:r w:rsidR="008C78F2">
      <w:rPr>
        <w:color w:val="FFFFFF" w:themeColor="background1"/>
      </w:rPr>
      <w:t>5</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15D0A" w14:textId="77777777" w:rsidR="00587F8B" w:rsidRPr="00657511" w:rsidRDefault="00587F8B" w:rsidP="002E22F1">
    <w:pPr>
      <w:pStyle w:val="En-tte"/>
      <w:pBdr>
        <w:top w:val="single" w:sz="4" w:space="1" w:color="auto"/>
        <w:left w:val="single" w:sz="4" w:space="4" w:color="auto"/>
        <w:bottom w:val="single" w:sz="4" w:space="1" w:color="auto"/>
        <w:right w:val="single" w:sz="4" w:space="4" w:color="auto"/>
      </w:pBdr>
      <w:shd w:val="clear" w:color="auto" w:fill="47D459" w:themeFill="accent3" w:themeFillTint="99"/>
      <w:jc w:val="center"/>
      <w:rPr>
        <w:color w:val="FFFFFF" w:themeColor="background1"/>
      </w:rPr>
    </w:pPr>
    <w:r w:rsidRPr="00657511">
      <w:rPr>
        <w:color w:val="FFFFFF" w:themeColor="background1"/>
      </w:rPr>
      <w:t xml:space="preserve">Mise </w:t>
    </w:r>
    <w:r>
      <w:rPr>
        <w:color w:val="FFFFFF" w:themeColor="background1"/>
      </w:rPr>
      <w:t>à</w:t>
    </w:r>
    <w:r w:rsidRPr="00657511">
      <w:rPr>
        <w:color w:val="FFFFFF" w:themeColor="background1"/>
      </w:rPr>
      <w:t xml:space="preserve"> jour de l’évaluation de la menace de BC 2024</w:t>
    </w:r>
  </w:p>
  <w:p w14:paraId="367B2492" w14:textId="77777777" w:rsidR="00587F8B" w:rsidRDefault="00587F8B">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728BE"/>
    <w:multiLevelType w:val="multilevel"/>
    <w:tmpl w:val="6540E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9C59D3"/>
    <w:multiLevelType w:val="hybridMultilevel"/>
    <w:tmpl w:val="7A70B31C"/>
    <w:lvl w:ilvl="0" w:tplc="AB74F732">
      <w:start w:val="21"/>
      <w:numFmt w:val="bullet"/>
      <w:lvlText w:val="-"/>
      <w:lvlJc w:val="left"/>
      <w:pPr>
        <w:ind w:left="720" w:hanging="360"/>
      </w:pPr>
      <w:rPr>
        <w:rFonts w:ascii="Times New Roman" w:eastAsiaTheme="minorEastAsia" w:hAnsi="Times New Roman" w:cs="Times New Roman"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 w15:restartNumberingAfterBreak="0">
    <w:nsid w:val="0EB86321"/>
    <w:multiLevelType w:val="hybridMultilevel"/>
    <w:tmpl w:val="69E62754"/>
    <w:lvl w:ilvl="0" w:tplc="AB74F732">
      <w:start w:val="21"/>
      <w:numFmt w:val="bullet"/>
      <w:lvlText w:val="-"/>
      <w:lvlJc w:val="left"/>
      <w:pPr>
        <w:ind w:left="720" w:hanging="360"/>
      </w:pPr>
      <w:rPr>
        <w:rFonts w:ascii="Times New Roman" w:eastAsiaTheme="minorEastAsia" w:hAnsi="Times New Roman" w:cs="Times New Roman"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3" w15:restartNumberingAfterBreak="0">
    <w:nsid w:val="15644514"/>
    <w:multiLevelType w:val="multilevel"/>
    <w:tmpl w:val="C7162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130EFF"/>
    <w:multiLevelType w:val="hybridMultilevel"/>
    <w:tmpl w:val="03566D3C"/>
    <w:lvl w:ilvl="0" w:tplc="11CE6A9E">
      <w:numFmt w:val="bullet"/>
      <w:lvlText w:val="-"/>
      <w:lvlJc w:val="left"/>
      <w:pPr>
        <w:ind w:left="441" w:hanging="269"/>
      </w:pPr>
      <w:rPr>
        <w:rFonts w:ascii="Times New Roman" w:eastAsia="Times New Roman" w:hAnsi="Times New Roman" w:cs="Times New Roman" w:hint="default"/>
        <w:b w:val="0"/>
        <w:bCs w:val="0"/>
        <w:i w:val="0"/>
        <w:iCs w:val="0"/>
        <w:spacing w:val="0"/>
        <w:w w:val="99"/>
        <w:sz w:val="20"/>
        <w:szCs w:val="20"/>
        <w:lang w:val="en-US" w:eastAsia="en-US" w:bidi="ar-SA"/>
      </w:rPr>
    </w:lvl>
    <w:lvl w:ilvl="1" w:tplc="8C8AF800">
      <w:numFmt w:val="bullet"/>
      <w:lvlText w:val="•"/>
      <w:lvlJc w:val="left"/>
      <w:pPr>
        <w:ind w:left="1303" w:hanging="269"/>
      </w:pPr>
      <w:rPr>
        <w:rFonts w:hint="default"/>
        <w:lang w:val="en-US" w:eastAsia="en-US" w:bidi="ar-SA"/>
      </w:rPr>
    </w:lvl>
    <w:lvl w:ilvl="2" w:tplc="BC2A18B8">
      <w:numFmt w:val="bullet"/>
      <w:lvlText w:val="•"/>
      <w:lvlJc w:val="left"/>
      <w:pPr>
        <w:ind w:left="2167" w:hanging="269"/>
      </w:pPr>
      <w:rPr>
        <w:rFonts w:hint="default"/>
        <w:lang w:val="en-US" w:eastAsia="en-US" w:bidi="ar-SA"/>
      </w:rPr>
    </w:lvl>
    <w:lvl w:ilvl="3" w:tplc="B8448530">
      <w:numFmt w:val="bullet"/>
      <w:lvlText w:val="•"/>
      <w:lvlJc w:val="left"/>
      <w:pPr>
        <w:ind w:left="3031" w:hanging="269"/>
      </w:pPr>
      <w:rPr>
        <w:rFonts w:hint="default"/>
        <w:lang w:val="en-US" w:eastAsia="en-US" w:bidi="ar-SA"/>
      </w:rPr>
    </w:lvl>
    <w:lvl w:ilvl="4" w:tplc="22883D32">
      <w:numFmt w:val="bullet"/>
      <w:lvlText w:val="•"/>
      <w:lvlJc w:val="left"/>
      <w:pPr>
        <w:ind w:left="3895" w:hanging="269"/>
      </w:pPr>
      <w:rPr>
        <w:rFonts w:hint="default"/>
        <w:lang w:val="en-US" w:eastAsia="en-US" w:bidi="ar-SA"/>
      </w:rPr>
    </w:lvl>
    <w:lvl w:ilvl="5" w:tplc="39D6504A">
      <w:numFmt w:val="bullet"/>
      <w:lvlText w:val="•"/>
      <w:lvlJc w:val="left"/>
      <w:pPr>
        <w:ind w:left="4759" w:hanging="269"/>
      </w:pPr>
      <w:rPr>
        <w:rFonts w:hint="default"/>
        <w:lang w:val="en-US" w:eastAsia="en-US" w:bidi="ar-SA"/>
      </w:rPr>
    </w:lvl>
    <w:lvl w:ilvl="6" w:tplc="ACEEB944">
      <w:numFmt w:val="bullet"/>
      <w:lvlText w:val="•"/>
      <w:lvlJc w:val="left"/>
      <w:pPr>
        <w:ind w:left="5622" w:hanging="269"/>
      </w:pPr>
      <w:rPr>
        <w:rFonts w:hint="default"/>
        <w:lang w:val="en-US" w:eastAsia="en-US" w:bidi="ar-SA"/>
      </w:rPr>
    </w:lvl>
    <w:lvl w:ilvl="7" w:tplc="D8967BD6">
      <w:numFmt w:val="bullet"/>
      <w:lvlText w:val="•"/>
      <w:lvlJc w:val="left"/>
      <w:pPr>
        <w:ind w:left="6486" w:hanging="269"/>
      </w:pPr>
      <w:rPr>
        <w:rFonts w:hint="default"/>
        <w:lang w:val="en-US" w:eastAsia="en-US" w:bidi="ar-SA"/>
      </w:rPr>
    </w:lvl>
    <w:lvl w:ilvl="8" w:tplc="268ACA04">
      <w:numFmt w:val="bullet"/>
      <w:lvlText w:val="•"/>
      <w:lvlJc w:val="left"/>
      <w:pPr>
        <w:ind w:left="7350" w:hanging="269"/>
      </w:pPr>
      <w:rPr>
        <w:rFonts w:hint="default"/>
        <w:lang w:val="en-US" w:eastAsia="en-US" w:bidi="ar-SA"/>
      </w:rPr>
    </w:lvl>
  </w:abstractNum>
  <w:abstractNum w:abstractNumId="5" w15:restartNumberingAfterBreak="0">
    <w:nsid w:val="1D847F95"/>
    <w:multiLevelType w:val="multilevel"/>
    <w:tmpl w:val="A546D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F06918"/>
    <w:multiLevelType w:val="hybridMultilevel"/>
    <w:tmpl w:val="0C6CDAF8"/>
    <w:lvl w:ilvl="0" w:tplc="AB74F732">
      <w:start w:val="21"/>
      <w:numFmt w:val="bullet"/>
      <w:lvlText w:val="-"/>
      <w:lvlJc w:val="left"/>
      <w:pPr>
        <w:ind w:left="720" w:hanging="360"/>
      </w:pPr>
      <w:rPr>
        <w:rFonts w:ascii="Times New Roman" w:eastAsiaTheme="minorEastAsia" w:hAnsi="Times New Roman" w:cs="Times New Roman"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7" w15:restartNumberingAfterBreak="0">
    <w:nsid w:val="2D2C2C59"/>
    <w:multiLevelType w:val="hybridMultilevel"/>
    <w:tmpl w:val="03EE3138"/>
    <w:lvl w:ilvl="0" w:tplc="FFFFFFFF">
      <w:start w:val="21"/>
      <w:numFmt w:val="bullet"/>
      <w:lvlText w:val="-"/>
      <w:lvlJc w:val="left"/>
      <w:pPr>
        <w:ind w:left="720" w:hanging="360"/>
      </w:pPr>
      <w:rPr>
        <w:rFonts w:ascii="Times New Roman" w:eastAsiaTheme="minorEastAsia" w:hAnsi="Times New Roman" w:cs="Times New Roman" w:hint="default"/>
      </w:rPr>
    </w:lvl>
    <w:lvl w:ilvl="1" w:tplc="AB74F732">
      <w:start w:val="21"/>
      <w:numFmt w:val="bullet"/>
      <w:lvlText w:val="-"/>
      <w:lvlJc w:val="left"/>
      <w:pPr>
        <w:ind w:left="720" w:hanging="360"/>
      </w:pPr>
      <w:rPr>
        <w:rFonts w:ascii="Times New Roman" w:eastAsiaTheme="minorEastAsia"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2AE6EAE"/>
    <w:multiLevelType w:val="hybridMultilevel"/>
    <w:tmpl w:val="D610DBB0"/>
    <w:lvl w:ilvl="0" w:tplc="30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4FD0466"/>
    <w:multiLevelType w:val="hybridMultilevel"/>
    <w:tmpl w:val="BB78824A"/>
    <w:lvl w:ilvl="0" w:tplc="AF3294CC">
      <w:start w:val="2"/>
      <w:numFmt w:val="bullet"/>
      <w:lvlText w:val=""/>
      <w:lvlJc w:val="left"/>
      <w:pPr>
        <w:ind w:left="720" w:hanging="360"/>
      </w:pPr>
      <w:rPr>
        <w:rFonts w:ascii="Symbol" w:eastAsiaTheme="minorEastAsia" w:hAnsi="Symbol" w:cs="Times New Roman"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0" w15:restartNumberingAfterBreak="0">
    <w:nsid w:val="3B0B5E71"/>
    <w:multiLevelType w:val="hybridMultilevel"/>
    <w:tmpl w:val="E6EA41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62E0C6B"/>
    <w:multiLevelType w:val="hybridMultilevel"/>
    <w:tmpl w:val="26C259CA"/>
    <w:lvl w:ilvl="0" w:tplc="0DD29BC6">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0E2C23"/>
    <w:multiLevelType w:val="multilevel"/>
    <w:tmpl w:val="1A9AD250"/>
    <w:lvl w:ilvl="0">
      <w:start w:val="1"/>
      <w:numFmt w:val="upperRoman"/>
      <w:pStyle w:val="Titre2"/>
      <w:lvlText w:val="%1-"/>
      <w:lvlJc w:val="left"/>
      <w:pPr>
        <w:ind w:left="1080" w:hanging="720"/>
      </w:pPr>
      <w:rPr>
        <w:rFonts w:hint="default"/>
      </w:rPr>
    </w:lvl>
    <w:lvl w:ilvl="1">
      <w:start w:val="1"/>
      <w:numFmt w:val="decimal"/>
      <w:pStyle w:val="Titre3"/>
      <w:lvlText w:val="%1.%2"/>
      <w:lvlJc w:val="left"/>
      <w:pPr>
        <w:ind w:left="1440" w:hanging="360"/>
      </w:pPr>
      <w:rPr>
        <w:rFonts w:hint="default"/>
      </w:rPr>
    </w:lvl>
    <w:lvl w:ilvl="2">
      <w:start w:val="1"/>
      <w:numFmt w:val="decimal"/>
      <w:pStyle w:val="Titre4"/>
      <w:lvlText w:val="%1.%2.%3"/>
      <w:lvlJc w:val="right"/>
      <w:pPr>
        <w:ind w:left="2160" w:hanging="180"/>
      </w:pPr>
      <w:rPr>
        <w:rFonts w:hint="default"/>
      </w:rPr>
    </w:lvl>
    <w:lvl w:ilvl="3">
      <w:start w:val="1"/>
      <w:numFmt w:val="decimal"/>
      <w:pStyle w:val="Titre5"/>
      <w:lvlText w:val="%1.%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4E9E42BA"/>
    <w:multiLevelType w:val="hybridMultilevel"/>
    <w:tmpl w:val="40D46040"/>
    <w:lvl w:ilvl="0" w:tplc="AB74F732">
      <w:start w:val="21"/>
      <w:numFmt w:val="bullet"/>
      <w:lvlText w:val="-"/>
      <w:lvlJc w:val="left"/>
      <w:pPr>
        <w:ind w:left="720" w:hanging="360"/>
      </w:pPr>
      <w:rPr>
        <w:rFonts w:ascii="Times New Roman" w:eastAsiaTheme="minorEastAsia" w:hAnsi="Times New Roman" w:cs="Times New Roman"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4" w15:restartNumberingAfterBreak="0">
    <w:nsid w:val="541866E5"/>
    <w:multiLevelType w:val="multilevel"/>
    <w:tmpl w:val="5776D59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heme="minorEastAsia"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344254"/>
    <w:multiLevelType w:val="hybridMultilevel"/>
    <w:tmpl w:val="B66285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EE2570B"/>
    <w:multiLevelType w:val="multilevel"/>
    <w:tmpl w:val="FDCABB18"/>
    <w:lvl w:ilvl="0">
      <w:start w:val="1"/>
      <w:numFmt w:val="bullet"/>
      <w:lvlText w:val=""/>
      <w:lvlJc w:val="left"/>
      <w:pPr>
        <w:ind w:left="720" w:hanging="360"/>
      </w:pPr>
      <w:rPr>
        <w:rFonts w:ascii="Symbol" w:hAnsi="Symbol" w:cs="Symbol"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6073641E"/>
    <w:multiLevelType w:val="multilevel"/>
    <w:tmpl w:val="48369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3E47C2"/>
    <w:multiLevelType w:val="multilevel"/>
    <w:tmpl w:val="4B405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6CB0E03"/>
    <w:multiLevelType w:val="hybridMultilevel"/>
    <w:tmpl w:val="6E82CFB8"/>
    <w:lvl w:ilvl="0" w:tplc="7B38A7B8">
      <w:numFmt w:val="bullet"/>
      <w:lvlText w:val="-"/>
      <w:lvlJc w:val="left"/>
      <w:pPr>
        <w:ind w:left="443" w:hanging="272"/>
      </w:pPr>
      <w:rPr>
        <w:rFonts w:ascii="Times New Roman" w:eastAsia="Times New Roman" w:hAnsi="Times New Roman" w:cs="Times New Roman" w:hint="default"/>
        <w:b w:val="0"/>
        <w:bCs w:val="0"/>
        <w:i w:val="0"/>
        <w:iCs w:val="0"/>
        <w:spacing w:val="0"/>
        <w:w w:val="100"/>
        <w:sz w:val="24"/>
        <w:szCs w:val="24"/>
        <w:lang w:val="en-US" w:eastAsia="en-US" w:bidi="ar-SA"/>
      </w:rPr>
    </w:lvl>
    <w:lvl w:ilvl="1" w:tplc="D7DA6812">
      <w:numFmt w:val="bullet"/>
      <w:lvlText w:val="•"/>
      <w:lvlJc w:val="left"/>
      <w:pPr>
        <w:ind w:left="1303" w:hanging="272"/>
      </w:pPr>
      <w:rPr>
        <w:rFonts w:hint="default"/>
        <w:lang w:val="en-US" w:eastAsia="en-US" w:bidi="ar-SA"/>
      </w:rPr>
    </w:lvl>
    <w:lvl w:ilvl="2" w:tplc="F678F44E">
      <w:numFmt w:val="bullet"/>
      <w:lvlText w:val="•"/>
      <w:lvlJc w:val="left"/>
      <w:pPr>
        <w:ind w:left="2167" w:hanging="272"/>
      </w:pPr>
      <w:rPr>
        <w:rFonts w:hint="default"/>
        <w:lang w:val="en-US" w:eastAsia="en-US" w:bidi="ar-SA"/>
      </w:rPr>
    </w:lvl>
    <w:lvl w:ilvl="3" w:tplc="1C74178E">
      <w:numFmt w:val="bullet"/>
      <w:lvlText w:val="•"/>
      <w:lvlJc w:val="left"/>
      <w:pPr>
        <w:ind w:left="3031" w:hanging="272"/>
      </w:pPr>
      <w:rPr>
        <w:rFonts w:hint="default"/>
        <w:lang w:val="en-US" w:eastAsia="en-US" w:bidi="ar-SA"/>
      </w:rPr>
    </w:lvl>
    <w:lvl w:ilvl="4" w:tplc="1CB23A68">
      <w:numFmt w:val="bullet"/>
      <w:lvlText w:val="•"/>
      <w:lvlJc w:val="left"/>
      <w:pPr>
        <w:ind w:left="3895" w:hanging="272"/>
      </w:pPr>
      <w:rPr>
        <w:rFonts w:hint="default"/>
        <w:lang w:val="en-US" w:eastAsia="en-US" w:bidi="ar-SA"/>
      </w:rPr>
    </w:lvl>
    <w:lvl w:ilvl="5" w:tplc="280E135E">
      <w:numFmt w:val="bullet"/>
      <w:lvlText w:val="•"/>
      <w:lvlJc w:val="left"/>
      <w:pPr>
        <w:ind w:left="4759" w:hanging="272"/>
      </w:pPr>
      <w:rPr>
        <w:rFonts w:hint="default"/>
        <w:lang w:val="en-US" w:eastAsia="en-US" w:bidi="ar-SA"/>
      </w:rPr>
    </w:lvl>
    <w:lvl w:ilvl="6" w:tplc="5C40A0CE">
      <w:numFmt w:val="bullet"/>
      <w:lvlText w:val="•"/>
      <w:lvlJc w:val="left"/>
      <w:pPr>
        <w:ind w:left="5622" w:hanging="272"/>
      </w:pPr>
      <w:rPr>
        <w:rFonts w:hint="default"/>
        <w:lang w:val="en-US" w:eastAsia="en-US" w:bidi="ar-SA"/>
      </w:rPr>
    </w:lvl>
    <w:lvl w:ilvl="7" w:tplc="78FE3A94">
      <w:numFmt w:val="bullet"/>
      <w:lvlText w:val="•"/>
      <w:lvlJc w:val="left"/>
      <w:pPr>
        <w:ind w:left="6486" w:hanging="272"/>
      </w:pPr>
      <w:rPr>
        <w:rFonts w:hint="default"/>
        <w:lang w:val="en-US" w:eastAsia="en-US" w:bidi="ar-SA"/>
      </w:rPr>
    </w:lvl>
    <w:lvl w:ilvl="8" w:tplc="B0D0CBA4">
      <w:numFmt w:val="bullet"/>
      <w:lvlText w:val="•"/>
      <w:lvlJc w:val="left"/>
      <w:pPr>
        <w:ind w:left="7350" w:hanging="272"/>
      </w:pPr>
      <w:rPr>
        <w:rFonts w:hint="default"/>
        <w:lang w:val="en-US" w:eastAsia="en-US" w:bidi="ar-SA"/>
      </w:rPr>
    </w:lvl>
  </w:abstractNum>
  <w:num w:numId="1" w16cid:durableId="878710164">
    <w:abstractNumId w:val="12"/>
  </w:num>
  <w:num w:numId="2" w16cid:durableId="1241986596">
    <w:abstractNumId w:val="9"/>
  </w:num>
  <w:num w:numId="3" w16cid:durableId="991519614">
    <w:abstractNumId w:val="3"/>
  </w:num>
  <w:num w:numId="4" w16cid:durableId="853114325">
    <w:abstractNumId w:val="5"/>
  </w:num>
  <w:num w:numId="5" w16cid:durableId="878011913">
    <w:abstractNumId w:val="0"/>
  </w:num>
  <w:num w:numId="6" w16cid:durableId="1305500914">
    <w:abstractNumId w:val="8"/>
  </w:num>
  <w:num w:numId="7" w16cid:durableId="1959021682">
    <w:abstractNumId w:val="6"/>
  </w:num>
  <w:num w:numId="8" w16cid:durableId="244149256">
    <w:abstractNumId w:val="7"/>
  </w:num>
  <w:num w:numId="9" w16cid:durableId="839738918">
    <w:abstractNumId w:val="13"/>
  </w:num>
  <w:num w:numId="10" w16cid:durableId="2068988237">
    <w:abstractNumId w:val="1"/>
  </w:num>
  <w:num w:numId="11" w16cid:durableId="578949479">
    <w:abstractNumId w:val="2"/>
  </w:num>
  <w:num w:numId="12" w16cid:durableId="104468662">
    <w:abstractNumId w:val="16"/>
  </w:num>
  <w:num w:numId="13" w16cid:durableId="1070150475">
    <w:abstractNumId w:val="9"/>
  </w:num>
  <w:num w:numId="14" w16cid:durableId="955873070">
    <w:abstractNumId w:val="10"/>
  </w:num>
  <w:num w:numId="15" w16cid:durableId="531650329">
    <w:abstractNumId w:val="11"/>
  </w:num>
  <w:num w:numId="16" w16cid:durableId="1388919742">
    <w:abstractNumId w:val="4"/>
  </w:num>
  <w:num w:numId="17" w16cid:durableId="638002142">
    <w:abstractNumId w:val="19"/>
  </w:num>
  <w:num w:numId="18" w16cid:durableId="1649163400">
    <w:abstractNumId w:val="17"/>
  </w:num>
  <w:num w:numId="19" w16cid:durableId="1103186384">
    <w:abstractNumId w:val="14"/>
  </w:num>
  <w:num w:numId="20" w16cid:durableId="1490248050">
    <w:abstractNumId w:val="18"/>
  </w:num>
  <w:num w:numId="21" w16cid:durableId="1922106994">
    <w:abstractNumId w:val="1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108"/>
    <w:rsid w:val="000007BC"/>
    <w:rsid w:val="000018A0"/>
    <w:rsid w:val="00007A19"/>
    <w:rsid w:val="00011D49"/>
    <w:rsid w:val="000166AB"/>
    <w:rsid w:val="000176C6"/>
    <w:rsid w:val="000204C6"/>
    <w:rsid w:val="00024EBE"/>
    <w:rsid w:val="00025525"/>
    <w:rsid w:val="00025FB8"/>
    <w:rsid w:val="00032E2A"/>
    <w:rsid w:val="000436E7"/>
    <w:rsid w:val="00046E1F"/>
    <w:rsid w:val="000476B5"/>
    <w:rsid w:val="00050564"/>
    <w:rsid w:val="00052500"/>
    <w:rsid w:val="0005277A"/>
    <w:rsid w:val="00052CB2"/>
    <w:rsid w:val="00056005"/>
    <w:rsid w:val="00057366"/>
    <w:rsid w:val="00060803"/>
    <w:rsid w:val="00061B4F"/>
    <w:rsid w:val="00062542"/>
    <w:rsid w:val="000631CF"/>
    <w:rsid w:val="00063E62"/>
    <w:rsid w:val="0006569C"/>
    <w:rsid w:val="000703C7"/>
    <w:rsid w:val="000711A1"/>
    <w:rsid w:val="00075707"/>
    <w:rsid w:val="00076616"/>
    <w:rsid w:val="000839F6"/>
    <w:rsid w:val="0008532F"/>
    <w:rsid w:val="00085AC5"/>
    <w:rsid w:val="00087B91"/>
    <w:rsid w:val="00090142"/>
    <w:rsid w:val="000914E5"/>
    <w:rsid w:val="000923B8"/>
    <w:rsid w:val="000943D3"/>
    <w:rsid w:val="000A3774"/>
    <w:rsid w:val="000A5B7F"/>
    <w:rsid w:val="000A5F71"/>
    <w:rsid w:val="000B0B5E"/>
    <w:rsid w:val="000B128B"/>
    <w:rsid w:val="000B1C93"/>
    <w:rsid w:val="000B222C"/>
    <w:rsid w:val="000B5D97"/>
    <w:rsid w:val="000C4EAD"/>
    <w:rsid w:val="000C5369"/>
    <w:rsid w:val="000C6DE9"/>
    <w:rsid w:val="000D1F2D"/>
    <w:rsid w:val="000D2FAD"/>
    <w:rsid w:val="000D7A16"/>
    <w:rsid w:val="000E1AAD"/>
    <w:rsid w:val="000E1F82"/>
    <w:rsid w:val="000E58C2"/>
    <w:rsid w:val="000E6CAC"/>
    <w:rsid w:val="000F2FE6"/>
    <w:rsid w:val="000F6C09"/>
    <w:rsid w:val="00100F77"/>
    <w:rsid w:val="001014E7"/>
    <w:rsid w:val="00101A00"/>
    <w:rsid w:val="00103BB9"/>
    <w:rsid w:val="001043A9"/>
    <w:rsid w:val="00104658"/>
    <w:rsid w:val="00105021"/>
    <w:rsid w:val="00105842"/>
    <w:rsid w:val="00105E2D"/>
    <w:rsid w:val="00106B44"/>
    <w:rsid w:val="001077D2"/>
    <w:rsid w:val="00110E7E"/>
    <w:rsid w:val="00112959"/>
    <w:rsid w:val="00113284"/>
    <w:rsid w:val="00114283"/>
    <w:rsid w:val="00114906"/>
    <w:rsid w:val="00114BAD"/>
    <w:rsid w:val="001175DD"/>
    <w:rsid w:val="00117C4B"/>
    <w:rsid w:val="00122C05"/>
    <w:rsid w:val="00122F28"/>
    <w:rsid w:val="001247A7"/>
    <w:rsid w:val="001252E6"/>
    <w:rsid w:val="00125F96"/>
    <w:rsid w:val="00132C2E"/>
    <w:rsid w:val="00136E7F"/>
    <w:rsid w:val="00142AB5"/>
    <w:rsid w:val="00142C35"/>
    <w:rsid w:val="00143D0F"/>
    <w:rsid w:val="00144F6D"/>
    <w:rsid w:val="00145459"/>
    <w:rsid w:val="00147FD3"/>
    <w:rsid w:val="00152CFA"/>
    <w:rsid w:val="001538B8"/>
    <w:rsid w:val="00156F64"/>
    <w:rsid w:val="0016401F"/>
    <w:rsid w:val="0016443D"/>
    <w:rsid w:val="00164640"/>
    <w:rsid w:val="00167BC9"/>
    <w:rsid w:val="00170F10"/>
    <w:rsid w:val="001724FC"/>
    <w:rsid w:val="00177BC9"/>
    <w:rsid w:val="00181230"/>
    <w:rsid w:val="00182A72"/>
    <w:rsid w:val="00183BB4"/>
    <w:rsid w:val="00185315"/>
    <w:rsid w:val="00187C0D"/>
    <w:rsid w:val="001907E3"/>
    <w:rsid w:val="0019182F"/>
    <w:rsid w:val="001951F5"/>
    <w:rsid w:val="00196392"/>
    <w:rsid w:val="00196809"/>
    <w:rsid w:val="00197512"/>
    <w:rsid w:val="001A2DE6"/>
    <w:rsid w:val="001A5784"/>
    <w:rsid w:val="001A705C"/>
    <w:rsid w:val="001B2464"/>
    <w:rsid w:val="001B59AE"/>
    <w:rsid w:val="001C3A3E"/>
    <w:rsid w:val="001D49A5"/>
    <w:rsid w:val="001D4F96"/>
    <w:rsid w:val="001E13EA"/>
    <w:rsid w:val="001E300D"/>
    <w:rsid w:val="001E3067"/>
    <w:rsid w:val="001E3CE2"/>
    <w:rsid w:val="001E3DDB"/>
    <w:rsid w:val="001E4358"/>
    <w:rsid w:val="001F1FAD"/>
    <w:rsid w:val="001F2809"/>
    <w:rsid w:val="001F3DD8"/>
    <w:rsid w:val="00200622"/>
    <w:rsid w:val="00210988"/>
    <w:rsid w:val="0021420E"/>
    <w:rsid w:val="00216DD7"/>
    <w:rsid w:val="00216FD1"/>
    <w:rsid w:val="002207EC"/>
    <w:rsid w:val="002245B4"/>
    <w:rsid w:val="002266E1"/>
    <w:rsid w:val="00227E40"/>
    <w:rsid w:val="0023055B"/>
    <w:rsid w:val="00231CAA"/>
    <w:rsid w:val="00231EDA"/>
    <w:rsid w:val="00233081"/>
    <w:rsid w:val="00233B0C"/>
    <w:rsid w:val="00235681"/>
    <w:rsid w:val="00237BE0"/>
    <w:rsid w:val="002400E0"/>
    <w:rsid w:val="00240F18"/>
    <w:rsid w:val="002454D1"/>
    <w:rsid w:val="002462F6"/>
    <w:rsid w:val="00247D53"/>
    <w:rsid w:val="0025093F"/>
    <w:rsid w:val="00252053"/>
    <w:rsid w:val="0025608A"/>
    <w:rsid w:val="00257F4B"/>
    <w:rsid w:val="00260A08"/>
    <w:rsid w:val="00260D1A"/>
    <w:rsid w:val="00262C45"/>
    <w:rsid w:val="002636F1"/>
    <w:rsid w:val="002645C2"/>
    <w:rsid w:val="00266545"/>
    <w:rsid w:val="00266D3E"/>
    <w:rsid w:val="00280C80"/>
    <w:rsid w:val="002827C7"/>
    <w:rsid w:val="00283FF9"/>
    <w:rsid w:val="002848EC"/>
    <w:rsid w:val="002920C7"/>
    <w:rsid w:val="00292FF8"/>
    <w:rsid w:val="00294327"/>
    <w:rsid w:val="00295BBA"/>
    <w:rsid w:val="002964F9"/>
    <w:rsid w:val="002A041A"/>
    <w:rsid w:val="002A05A3"/>
    <w:rsid w:val="002B00B9"/>
    <w:rsid w:val="002B0774"/>
    <w:rsid w:val="002B07EE"/>
    <w:rsid w:val="002B1F40"/>
    <w:rsid w:val="002B3463"/>
    <w:rsid w:val="002B3A76"/>
    <w:rsid w:val="002B4925"/>
    <w:rsid w:val="002C026F"/>
    <w:rsid w:val="002C19A2"/>
    <w:rsid w:val="002C2497"/>
    <w:rsid w:val="002C2AD5"/>
    <w:rsid w:val="002D2D87"/>
    <w:rsid w:val="002D2FDE"/>
    <w:rsid w:val="002D321C"/>
    <w:rsid w:val="002D5040"/>
    <w:rsid w:val="002D5EE6"/>
    <w:rsid w:val="002E1168"/>
    <w:rsid w:val="002E12EE"/>
    <w:rsid w:val="002E19C8"/>
    <w:rsid w:val="002E1BBE"/>
    <w:rsid w:val="002E22F1"/>
    <w:rsid w:val="002E3C92"/>
    <w:rsid w:val="002E4B85"/>
    <w:rsid w:val="002F1F46"/>
    <w:rsid w:val="002F7028"/>
    <w:rsid w:val="0030385F"/>
    <w:rsid w:val="003060F7"/>
    <w:rsid w:val="003119E2"/>
    <w:rsid w:val="00311E5C"/>
    <w:rsid w:val="003122B8"/>
    <w:rsid w:val="00312A6C"/>
    <w:rsid w:val="00315145"/>
    <w:rsid w:val="0032019A"/>
    <w:rsid w:val="00321EA4"/>
    <w:rsid w:val="00324120"/>
    <w:rsid w:val="00325578"/>
    <w:rsid w:val="00326D52"/>
    <w:rsid w:val="003302F2"/>
    <w:rsid w:val="00333A7A"/>
    <w:rsid w:val="00333C64"/>
    <w:rsid w:val="003350C0"/>
    <w:rsid w:val="0033679F"/>
    <w:rsid w:val="00340195"/>
    <w:rsid w:val="003403C2"/>
    <w:rsid w:val="00340A0F"/>
    <w:rsid w:val="00342B77"/>
    <w:rsid w:val="00351347"/>
    <w:rsid w:val="003518C7"/>
    <w:rsid w:val="00351A05"/>
    <w:rsid w:val="00352AE9"/>
    <w:rsid w:val="003539E9"/>
    <w:rsid w:val="0035567F"/>
    <w:rsid w:val="003611F9"/>
    <w:rsid w:val="00361A67"/>
    <w:rsid w:val="00366B6F"/>
    <w:rsid w:val="0036763C"/>
    <w:rsid w:val="00372BD7"/>
    <w:rsid w:val="003732C7"/>
    <w:rsid w:val="00373AB2"/>
    <w:rsid w:val="0038292F"/>
    <w:rsid w:val="003858D7"/>
    <w:rsid w:val="00385E5B"/>
    <w:rsid w:val="00387281"/>
    <w:rsid w:val="00391963"/>
    <w:rsid w:val="00391D3A"/>
    <w:rsid w:val="00394701"/>
    <w:rsid w:val="00394819"/>
    <w:rsid w:val="00397DAD"/>
    <w:rsid w:val="003A478B"/>
    <w:rsid w:val="003A5DB9"/>
    <w:rsid w:val="003A5FB4"/>
    <w:rsid w:val="003B59AA"/>
    <w:rsid w:val="003B61E3"/>
    <w:rsid w:val="003B6581"/>
    <w:rsid w:val="003B7780"/>
    <w:rsid w:val="003C193D"/>
    <w:rsid w:val="003D53E0"/>
    <w:rsid w:val="003D53E1"/>
    <w:rsid w:val="003D6D55"/>
    <w:rsid w:val="003E4A35"/>
    <w:rsid w:val="003E4E4C"/>
    <w:rsid w:val="003E5AE8"/>
    <w:rsid w:val="003F1263"/>
    <w:rsid w:val="003F3306"/>
    <w:rsid w:val="003F634F"/>
    <w:rsid w:val="003F7E3A"/>
    <w:rsid w:val="00400835"/>
    <w:rsid w:val="004030D0"/>
    <w:rsid w:val="00404D62"/>
    <w:rsid w:val="00404D69"/>
    <w:rsid w:val="00404F23"/>
    <w:rsid w:val="00406206"/>
    <w:rsid w:val="004066CC"/>
    <w:rsid w:val="00412C18"/>
    <w:rsid w:val="00414E7E"/>
    <w:rsid w:val="00415093"/>
    <w:rsid w:val="004228AF"/>
    <w:rsid w:val="00424E91"/>
    <w:rsid w:val="0042572D"/>
    <w:rsid w:val="0042649C"/>
    <w:rsid w:val="00434F7D"/>
    <w:rsid w:val="00436DF6"/>
    <w:rsid w:val="00437B72"/>
    <w:rsid w:val="004408E7"/>
    <w:rsid w:val="00440C33"/>
    <w:rsid w:val="004443E3"/>
    <w:rsid w:val="00444D1E"/>
    <w:rsid w:val="00451104"/>
    <w:rsid w:val="00451F6B"/>
    <w:rsid w:val="004528F8"/>
    <w:rsid w:val="00452B40"/>
    <w:rsid w:val="00453AEC"/>
    <w:rsid w:val="00453B71"/>
    <w:rsid w:val="004565A4"/>
    <w:rsid w:val="00456729"/>
    <w:rsid w:val="00457D86"/>
    <w:rsid w:val="00460D22"/>
    <w:rsid w:val="004613EF"/>
    <w:rsid w:val="00464211"/>
    <w:rsid w:val="0046548A"/>
    <w:rsid w:val="00471363"/>
    <w:rsid w:val="004751E3"/>
    <w:rsid w:val="00475563"/>
    <w:rsid w:val="00475BF4"/>
    <w:rsid w:val="004838E6"/>
    <w:rsid w:val="00484B55"/>
    <w:rsid w:val="00490B05"/>
    <w:rsid w:val="00491BC0"/>
    <w:rsid w:val="00494F58"/>
    <w:rsid w:val="00495BBA"/>
    <w:rsid w:val="004A0843"/>
    <w:rsid w:val="004A2255"/>
    <w:rsid w:val="004A4D16"/>
    <w:rsid w:val="004A6277"/>
    <w:rsid w:val="004B36C1"/>
    <w:rsid w:val="004B3902"/>
    <w:rsid w:val="004B6804"/>
    <w:rsid w:val="004B739D"/>
    <w:rsid w:val="004C1BC6"/>
    <w:rsid w:val="004C2B0A"/>
    <w:rsid w:val="004C5270"/>
    <w:rsid w:val="004C7290"/>
    <w:rsid w:val="004D69CC"/>
    <w:rsid w:val="004E1082"/>
    <w:rsid w:val="004E117C"/>
    <w:rsid w:val="004E1AC4"/>
    <w:rsid w:val="004E7CFD"/>
    <w:rsid w:val="004F0FF9"/>
    <w:rsid w:val="004F25F8"/>
    <w:rsid w:val="004F51D4"/>
    <w:rsid w:val="004F5FA5"/>
    <w:rsid w:val="004F716A"/>
    <w:rsid w:val="005018A9"/>
    <w:rsid w:val="00502B93"/>
    <w:rsid w:val="005030BC"/>
    <w:rsid w:val="00504AF5"/>
    <w:rsid w:val="00504DF0"/>
    <w:rsid w:val="005064BA"/>
    <w:rsid w:val="00511645"/>
    <w:rsid w:val="00522412"/>
    <w:rsid w:val="005225B3"/>
    <w:rsid w:val="00526302"/>
    <w:rsid w:val="00527D09"/>
    <w:rsid w:val="00531913"/>
    <w:rsid w:val="005350F3"/>
    <w:rsid w:val="00540205"/>
    <w:rsid w:val="00541143"/>
    <w:rsid w:val="005446C0"/>
    <w:rsid w:val="005505B5"/>
    <w:rsid w:val="00550766"/>
    <w:rsid w:val="0055172D"/>
    <w:rsid w:val="0055689F"/>
    <w:rsid w:val="00565A28"/>
    <w:rsid w:val="00567A60"/>
    <w:rsid w:val="005705ED"/>
    <w:rsid w:val="005762CF"/>
    <w:rsid w:val="00577270"/>
    <w:rsid w:val="00582298"/>
    <w:rsid w:val="00585720"/>
    <w:rsid w:val="00587F8B"/>
    <w:rsid w:val="0059074D"/>
    <w:rsid w:val="005A08B1"/>
    <w:rsid w:val="005B4EE2"/>
    <w:rsid w:val="005B62B2"/>
    <w:rsid w:val="005B7D14"/>
    <w:rsid w:val="005C2D2E"/>
    <w:rsid w:val="005C2D52"/>
    <w:rsid w:val="005C5193"/>
    <w:rsid w:val="005C6CD8"/>
    <w:rsid w:val="005D071D"/>
    <w:rsid w:val="005D2940"/>
    <w:rsid w:val="005D4A9A"/>
    <w:rsid w:val="005D72A8"/>
    <w:rsid w:val="005E06AB"/>
    <w:rsid w:val="005F0083"/>
    <w:rsid w:val="005F1275"/>
    <w:rsid w:val="005F349A"/>
    <w:rsid w:val="005F4D05"/>
    <w:rsid w:val="005F5162"/>
    <w:rsid w:val="005F626A"/>
    <w:rsid w:val="005F66D7"/>
    <w:rsid w:val="005F788E"/>
    <w:rsid w:val="005F7C36"/>
    <w:rsid w:val="005F7C4C"/>
    <w:rsid w:val="006013D9"/>
    <w:rsid w:val="006019E9"/>
    <w:rsid w:val="00601C71"/>
    <w:rsid w:val="00620EA8"/>
    <w:rsid w:val="00627D45"/>
    <w:rsid w:val="00631277"/>
    <w:rsid w:val="006321F9"/>
    <w:rsid w:val="00632845"/>
    <w:rsid w:val="00632A32"/>
    <w:rsid w:val="0063466A"/>
    <w:rsid w:val="00636834"/>
    <w:rsid w:val="00640939"/>
    <w:rsid w:val="00642B25"/>
    <w:rsid w:val="00644FB5"/>
    <w:rsid w:val="006473E4"/>
    <w:rsid w:val="0065057D"/>
    <w:rsid w:val="00653872"/>
    <w:rsid w:val="00653BEA"/>
    <w:rsid w:val="00655F57"/>
    <w:rsid w:val="00657511"/>
    <w:rsid w:val="00660BDC"/>
    <w:rsid w:val="00660F97"/>
    <w:rsid w:val="00661E95"/>
    <w:rsid w:val="0066246F"/>
    <w:rsid w:val="00664830"/>
    <w:rsid w:val="0066586D"/>
    <w:rsid w:val="006665CA"/>
    <w:rsid w:val="00666EBE"/>
    <w:rsid w:val="00670FA4"/>
    <w:rsid w:val="00671D04"/>
    <w:rsid w:val="00673224"/>
    <w:rsid w:val="006779CF"/>
    <w:rsid w:val="00680085"/>
    <w:rsid w:val="00684742"/>
    <w:rsid w:val="00684DF8"/>
    <w:rsid w:val="00685A65"/>
    <w:rsid w:val="00687DF5"/>
    <w:rsid w:val="00690ADF"/>
    <w:rsid w:val="00692FE0"/>
    <w:rsid w:val="0069724A"/>
    <w:rsid w:val="00697E3E"/>
    <w:rsid w:val="006A28F7"/>
    <w:rsid w:val="006A47FA"/>
    <w:rsid w:val="006A697B"/>
    <w:rsid w:val="006A78C5"/>
    <w:rsid w:val="006B1062"/>
    <w:rsid w:val="006B7599"/>
    <w:rsid w:val="006B7BCB"/>
    <w:rsid w:val="006C187B"/>
    <w:rsid w:val="006C4A74"/>
    <w:rsid w:val="006C4BA4"/>
    <w:rsid w:val="006D02EF"/>
    <w:rsid w:val="006D35B2"/>
    <w:rsid w:val="006D434D"/>
    <w:rsid w:val="006D5D5B"/>
    <w:rsid w:val="006D5F37"/>
    <w:rsid w:val="006D693A"/>
    <w:rsid w:val="006E16C3"/>
    <w:rsid w:val="006E1B52"/>
    <w:rsid w:val="006E2BB4"/>
    <w:rsid w:val="006E2C18"/>
    <w:rsid w:val="006E2F39"/>
    <w:rsid w:val="006E7B77"/>
    <w:rsid w:val="006F2236"/>
    <w:rsid w:val="006F2B2B"/>
    <w:rsid w:val="006F48CE"/>
    <w:rsid w:val="006F76AA"/>
    <w:rsid w:val="006F7806"/>
    <w:rsid w:val="00701038"/>
    <w:rsid w:val="00710B7E"/>
    <w:rsid w:val="00713B2A"/>
    <w:rsid w:val="00713F7E"/>
    <w:rsid w:val="00714772"/>
    <w:rsid w:val="00715CC2"/>
    <w:rsid w:val="00717CB7"/>
    <w:rsid w:val="00721AF0"/>
    <w:rsid w:val="007220A4"/>
    <w:rsid w:val="007232D7"/>
    <w:rsid w:val="007240A4"/>
    <w:rsid w:val="007268B5"/>
    <w:rsid w:val="00727EB8"/>
    <w:rsid w:val="0073178D"/>
    <w:rsid w:val="007323E5"/>
    <w:rsid w:val="007372DB"/>
    <w:rsid w:val="007377B9"/>
    <w:rsid w:val="00746F7E"/>
    <w:rsid w:val="00747835"/>
    <w:rsid w:val="00747CFA"/>
    <w:rsid w:val="00751D1C"/>
    <w:rsid w:val="007537C5"/>
    <w:rsid w:val="007552B9"/>
    <w:rsid w:val="00755C52"/>
    <w:rsid w:val="00761334"/>
    <w:rsid w:val="00762879"/>
    <w:rsid w:val="00762DDA"/>
    <w:rsid w:val="00763A85"/>
    <w:rsid w:val="00766E0C"/>
    <w:rsid w:val="0077076C"/>
    <w:rsid w:val="00770F62"/>
    <w:rsid w:val="00771616"/>
    <w:rsid w:val="00772A3C"/>
    <w:rsid w:val="00776709"/>
    <w:rsid w:val="0077707B"/>
    <w:rsid w:val="007814D0"/>
    <w:rsid w:val="00786CE2"/>
    <w:rsid w:val="0079004F"/>
    <w:rsid w:val="00790226"/>
    <w:rsid w:val="0079053F"/>
    <w:rsid w:val="007965B0"/>
    <w:rsid w:val="007A29EF"/>
    <w:rsid w:val="007A3EC4"/>
    <w:rsid w:val="007B02F8"/>
    <w:rsid w:val="007B2136"/>
    <w:rsid w:val="007B4061"/>
    <w:rsid w:val="007B516C"/>
    <w:rsid w:val="007B5E3D"/>
    <w:rsid w:val="007B6405"/>
    <w:rsid w:val="007C3758"/>
    <w:rsid w:val="007C53CF"/>
    <w:rsid w:val="007C6E5B"/>
    <w:rsid w:val="007D07CE"/>
    <w:rsid w:val="007D10F8"/>
    <w:rsid w:val="007D406D"/>
    <w:rsid w:val="007D457B"/>
    <w:rsid w:val="007D48FF"/>
    <w:rsid w:val="007E0647"/>
    <w:rsid w:val="007E13A3"/>
    <w:rsid w:val="007E5FFA"/>
    <w:rsid w:val="007F1286"/>
    <w:rsid w:val="007F40C0"/>
    <w:rsid w:val="007F4563"/>
    <w:rsid w:val="007F73F1"/>
    <w:rsid w:val="0080068C"/>
    <w:rsid w:val="00800E22"/>
    <w:rsid w:val="00805492"/>
    <w:rsid w:val="00805862"/>
    <w:rsid w:val="00806431"/>
    <w:rsid w:val="00807881"/>
    <w:rsid w:val="0081098C"/>
    <w:rsid w:val="00813698"/>
    <w:rsid w:val="008147AA"/>
    <w:rsid w:val="008155F9"/>
    <w:rsid w:val="00816EB5"/>
    <w:rsid w:val="0082119E"/>
    <w:rsid w:val="00824872"/>
    <w:rsid w:val="00824D75"/>
    <w:rsid w:val="00826305"/>
    <w:rsid w:val="00826E9D"/>
    <w:rsid w:val="00832B83"/>
    <w:rsid w:val="00835A8A"/>
    <w:rsid w:val="00840CBC"/>
    <w:rsid w:val="0084127F"/>
    <w:rsid w:val="00842647"/>
    <w:rsid w:val="00843CAB"/>
    <w:rsid w:val="00843CD2"/>
    <w:rsid w:val="00844A6A"/>
    <w:rsid w:val="008466EB"/>
    <w:rsid w:val="00847BCC"/>
    <w:rsid w:val="00851E77"/>
    <w:rsid w:val="00854523"/>
    <w:rsid w:val="0085649E"/>
    <w:rsid w:val="008568E5"/>
    <w:rsid w:val="00857630"/>
    <w:rsid w:val="00857E42"/>
    <w:rsid w:val="008604E7"/>
    <w:rsid w:val="00865692"/>
    <w:rsid w:val="008659CE"/>
    <w:rsid w:val="00866148"/>
    <w:rsid w:val="0086683B"/>
    <w:rsid w:val="00867B7D"/>
    <w:rsid w:val="00873457"/>
    <w:rsid w:val="008762E5"/>
    <w:rsid w:val="008766F4"/>
    <w:rsid w:val="008770BB"/>
    <w:rsid w:val="00886D6F"/>
    <w:rsid w:val="00887705"/>
    <w:rsid w:val="00890301"/>
    <w:rsid w:val="008920C4"/>
    <w:rsid w:val="00893542"/>
    <w:rsid w:val="008939A9"/>
    <w:rsid w:val="008974B7"/>
    <w:rsid w:val="008A0812"/>
    <w:rsid w:val="008A38B0"/>
    <w:rsid w:val="008A7BF1"/>
    <w:rsid w:val="008B1296"/>
    <w:rsid w:val="008B6333"/>
    <w:rsid w:val="008B648C"/>
    <w:rsid w:val="008B65BA"/>
    <w:rsid w:val="008C0A07"/>
    <w:rsid w:val="008C2D82"/>
    <w:rsid w:val="008C3349"/>
    <w:rsid w:val="008C54B2"/>
    <w:rsid w:val="008C78F2"/>
    <w:rsid w:val="008D227C"/>
    <w:rsid w:val="008D5EB3"/>
    <w:rsid w:val="008D6B57"/>
    <w:rsid w:val="008D74C9"/>
    <w:rsid w:val="008E1D14"/>
    <w:rsid w:val="008E1E4D"/>
    <w:rsid w:val="008E306E"/>
    <w:rsid w:val="008E31D0"/>
    <w:rsid w:val="008E412F"/>
    <w:rsid w:val="008E51B9"/>
    <w:rsid w:val="008E6CD7"/>
    <w:rsid w:val="008F0A7C"/>
    <w:rsid w:val="008F0A7F"/>
    <w:rsid w:val="008F201F"/>
    <w:rsid w:val="008F4222"/>
    <w:rsid w:val="008F704B"/>
    <w:rsid w:val="009005D8"/>
    <w:rsid w:val="00902F67"/>
    <w:rsid w:val="00904700"/>
    <w:rsid w:val="00905736"/>
    <w:rsid w:val="00906B7E"/>
    <w:rsid w:val="00911979"/>
    <w:rsid w:val="00913925"/>
    <w:rsid w:val="009143E3"/>
    <w:rsid w:val="009170A1"/>
    <w:rsid w:val="00924BC6"/>
    <w:rsid w:val="00924E0F"/>
    <w:rsid w:val="00925A85"/>
    <w:rsid w:val="009356C4"/>
    <w:rsid w:val="00936BB1"/>
    <w:rsid w:val="00937BDF"/>
    <w:rsid w:val="00942212"/>
    <w:rsid w:val="00942A9B"/>
    <w:rsid w:val="00944E55"/>
    <w:rsid w:val="009456B3"/>
    <w:rsid w:val="00945940"/>
    <w:rsid w:val="009461FB"/>
    <w:rsid w:val="009517B7"/>
    <w:rsid w:val="009526DD"/>
    <w:rsid w:val="00952BD2"/>
    <w:rsid w:val="00954636"/>
    <w:rsid w:val="00965766"/>
    <w:rsid w:val="00966167"/>
    <w:rsid w:val="00966AB9"/>
    <w:rsid w:val="00971569"/>
    <w:rsid w:val="00971F14"/>
    <w:rsid w:val="0097372B"/>
    <w:rsid w:val="0097476E"/>
    <w:rsid w:val="00977A63"/>
    <w:rsid w:val="00980804"/>
    <w:rsid w:val="0098101B"/>
    <w:rsid w:val="0098263C"/>
    <w:rsid w:val="0098314A"/>
    <w:rsid w:val="009843AD"/>
    <w:rsid w:val="009945E5"/>
    <w:rsid w:val="00996653"/>
    <w:rsid w:val="009A0A5A"/>
    <w:rsid w:val="009A0EE8"/>
    <w:rsid w:val="009A183A"/>
    <w:rsid w:val="009A364E"/>
    <w:rsid w:val="009A6DAD"/>
    <w:rsid w:val="009B392F"/>
    <w:rsid w:val="009B74F0"/>
    <w:rsid w:val="009C0B14"/>
    <w:rsid w:val="009C0B1C"/>
    <w:rsid w:val="009C2D17"/>
    <w:rsid w:val="009C63CC"/>
    <w:rsid w:val="009C64F1"/>
    <w:rsid w:val="009C69F6"/>
    <w:rsid w:val="009D0284"/>
    <w:rsid w:val="009D2823"/>
    <w:rsid w:val="009D55D9"/>
    <w:rsid w:val="009D5861"/>
    <w:rsid w:val="009E69BA"/>
    <w:rsid w:val="009E7750"/>
    <w:rsid w:val="009F0687"/>
    <w:rsid w:val="009F25BA"/>
    <w:rsid w:val="009F4687"/>
    <w:rsid w:val="009F61B5"/>
    <w:rsid w:val="009F7B09"/>
    <w:rsid w:val="00A00A29"/>
    <w:rsid w:val="00A00C51"/>
    <w:rsid w:val="00A0135C"/>
    <w:rsid w:val="00A015EA"/>
    <w:rsid w:val="00A02985"/>
    <w:rsid w:val="00A02F3F"/>
    <w:rsid w:val="00A034C7"/>
    <w:rsid w:val="00A03ADE"/>
    <w:rsid w:val="00A03AE0"/>
    <w:rsid w:val="00A042A4"/>
    <w:rsid w:val="00A20C07"/>
    <w:rsid w:val="00A21BCE"/>
    <w:rsid w:val="00A23AF1"/>
    <w:rsid w:val="00A32E87"/>
    <w:rsid w:val="00A33071"/>
    <w:rsid w:val="00A34394"/>
    <w:rsid w:val="00A34A9D"/>
    <w:rsid w:val="00A35519"/>
    <w:rsid w:val="00A40C10"/>
    <w:rsid w:val="00A41273"/>
    <w:rsid w:val="00A41781"/>
    <w:rsid w:val="00A45ECB"/>
    <w:rsid w:val="00A45F16"/>
    <w:rsid w:val="00A46EB5"/>
    <w:rsid w:val="00A47278"/>
    <w:rsid w:val="00A61007"/>
    <w:rsid w:val="00A6133E"/>
    <w:rsid w:val="00A6326F"/>
    <w:rsid w:val="00A63603"/>
    <w:rsid w:val="00A656E9"/>
    <w:rsid w:val="00A66739"/>
    <w:rsid w:val="00A67040"/>
    <w:rsid w:val="00A733BC"/>
    <w:rsid w:val="00A744EA"/>
    <w:rsid w:val="00A748D1"/>
    <w:rsid w:val="00A760C1"/>
    <w:rsid w:val="00A770BD"/>
    <w:rsid w:val="00A81FAC"/>
    <w:rsid w:val="00A84B15"/>
    <w:rsid w:val="00A86188"/>
    <w:rsid w:val="00A87871"/>
    <w:rsid w:val="00A9122E"/>
    <w:rsid w:val="00A9269B"/>
    <w:rsid w:val="00A948EC"/>
    <w:rsid w:val="00A97081"/>
    <w:rsid w:val="00A97091"/>
    <w:rsid w:val="00AA1D75"/>
    <w:rsid w:val="00AA2F26"/>
    <w:rsid w:val="00AA3A2F"/>
    <w:rsid w:val="00AA4116"/>
    <w:rsid w:val="00AA4865"/>
    <w:rsid w:val="00AA48AB"/>
    <w:rsid w:val="00AA5EF7"/>
    <w:rsid w:val="00AA6921"/>
    <w:rsid w:val="00AB05C1"/>
    <w:rsid w:val="00AB0F8C"/>
    <w:rsid w:val="00AB254C"/>
    <w:rsid w:val="00AB3422"/>
    <w:rsid w:val="00AB343E"/>
    <w:rsid w:val="00AB4090"/>
    <w:rsid w:val="00AB4DF0"/>
    <w:rsid w:val="00AC2E12"/>
    <w:rsid w:val="00AC4E3C"/>
    <w:rsid w:val="00AD106E"/>
    <w:rsid w:val="00AD5463"/>
    <w:rsid w:val="00AD68C2"/>
    <w:rsid w:val="00AE0BD6"/>
    <w:rsid w:val="00AE5B92"/>
    <w:rsid w:val="00AE7C73"/>
    <w:rsid w:val="00AF0357"/>
    <w:rsid w:val="00AF0706"/>
    <w:rsid w:val="00AF0C75"/>
    <w:rsid w:val="00AF4343"/>
    <w:rsid w:val="00AF449F"/>
    <w:rsid w:val="00AF50E3"/>
    <w:rsid w:val="00AF58A1"/>
    <w:rsid w:val="00AF5CED"/>
    <w:rsid w:val="00AF60EC"/>
    <w:rsid w:val="00B00AEF"/>
    <w:rsid w:val="00B024A8"/>
    <w:rsid w:val="00B0539A"/>
    <w:rsid w:val="00B06521"/>
    <w:rsid w:val="00B104B4"/>
    <w:rsid w:val="00B1196A"/>
    <w:rsid w:val="00B125E2"/>
    <w:rsid w:val="00B16CA3"/>
    <w:rsid w:val="00B17513"/>
    <w:rsid w:val="00B23EC0"/>
    <w:rsid w:val="00B268C1"/>
    <w:rsid w:val="00B326C6"/>
    <w:rsid w:val="00B35A14"/>
    <w:rsid w:val="00B377D6"/>
    <w:rsid w:val="00B41952"/>
    <w:rsid w:val="00B44930"/>
    <w:rsid w:val="00B50944"/>
    <w:rsid w:val="00B5250C"/>
    <w:rsid w:val="00B52647"/>
    <w:rsid w:val="00B565E9"/>
    <w:rsid w:val="00B6064C"/>
    <w:rsid w:val="00B63266"/>
    <w:rsid w:val="00B6347B"/>
    <w:rsid w:val="00B63E0E"/>
    <w:rsid w:val="00B70FBD"/>
    <w:rsid w:val="00B72594"/>
    <w:rsid w:val="00B72B3B"/>
    <w:rsid w:val="00B74E29"/>
    <w:rsid w:val="00B77629"/>
    <w:rsid w:val="00B77A54"/>
    <w:rsid w:val="00B810EB"/>
    <w:rsid w:val="00B85A36"/>
    <w:rsid w:val="00B873A3"/>
    <w:rsid w:val="00B91B46"/>
    <w:rsid w:val="00B94EBA"/>
    <w:rsid w:val="00B953A1"/>
    <w:rsid w:val="00B97689"/>
    <w:rsid w:val="00BA187E"/>
    <w:rsid w:val="00BA2337"/>
    <w:rsid w:val="00BA3F74"/>
    <w:rsid w:val="00BA437E"/>
    <w:rsid w:val="00BA50D4"/>
    <w:rsid w:val="00BB16DC"/>
    <w:rsid w:val="00BB3094"/>
    <w:rsid w:val="00BB4A7B"/>
    <w:rsid w:val="00BB709D"/>
    <w:rsid w:val="00BC6A7C"/>
    <w:rsid w:val="00BC6E71"/>
    <w:rsid w:val="00BC7FF3"/>
    <w:rsid w:val="00BD175E"/>
    <w:rsid w:val="00BD3C4D"/>
    <w:rsid w:val="00BD526C"/>
    <w:rsid w:val="00BD5DB8"/>
    <w:rsid w:val="00BD666A"/>
    <w:rsid w:val="00BE0634"/>
    <w:rsid w:val="00BE332F"/>
    <w:rsid w:val="00BE3A11"/>
    <w:rsid w:val="00BE5590"/>
    <w:rsid w:val="00BF52C6"/>
    <w:rsid w:val="00BF5D59"/>
    <w:rsid w:val="00BF6077"/>
    <w:rsid w:val="00BF61AA"/>
    <w:rsid w:val="00BF62A5"/>
    <w:rsid w:val="00BF7647"/>
    <w:rsid w:val="00C006EB"/>
    <w:rsid w:val="00C01377"/>
    <w:rsid w:val="00C11BAE"/>
    <w:rsid w:val="00C15519"/>
    <w:rsid w:val="00C1584C"/>
    <w:rsid w:val="00C15C04"/>
    <w:rsid w:val="00C160F1"/>
    <w:rsid w:val="00C16888"/>
    <w:rsid w:val="00C2288F"/>
    <w:rsid w:val="00C23964"/>
    <w:rsid w:val="00C31167"/>
    <w:rsid w:val="00C32434"/>
    <w:rsid w:val="00C33326"/>
    <w:rsid w:val="00C34D6E"/>
    <w:rsid w:val="00C40C04"/>
    <w:rsid w:val="00C41FF9"/>
    <w:rsid w:val="00C4516F"/>
    <w:rsid w:val="00C45623"/>
    <w:rsid w:val="00C502F4"/>
    <w:rsid w:val="00C50436"/>
    <w:rsid w:val="00C523D8"/>
    <w:rsid w:val="00C561C7"/>
    <w:rsid w:val="00C61637"/>
    <w:rsid w:val="00C61DC7"/>
    <w:rsid w:val="00C64581"/>
    <w:rsid w:val="00C652E5"/>
    <w:rsid w:val="00C663E5"/>
    <w:rsid w:val="00C70090"/>
    <w:rsid w:val="00C704C3"/>
    <w:rsid w:val="00C71EDF"/>
    <w:rsid w:val="00C7206C"/>
    <w:rsid w:val="00C75208"/>
    <w:rsid w:val="00C77A66"/>
    <w:rsid w:val="00C803B2"/>
    <w:rsid w:val="00C80FA1"/>
    <w:rsid w:val="00C8404D"/>
    <w:rsid w:val="00C84F39"/>
    <w:rsid w:val="00C8552E"/>
    <w:rsid w:val="00C85764"/>
    <w:rsid w:val="00C85D0D"/>
    <w:rsid w:val="00C85DBB"/>
    <w:rsid w:val="00C87ADA"/>
    <w:rsid w:val="00C87E33"/>
    <w:rsid w:val="00C9159F"/>
    <w:rsid w:val="00C93EEB"/>
    <w:rsid w:val="00C942A5"/>
    <w:rsid w:val="00C95353"/>
    <w:rsid w:val="00C9761C"/>
    <w:rsid w:val="00CA023A"/>
    <w:rsid w:val="00CA2236"/>
    <w:rsid w:val="00CA29F6"/>
    <w:rsid w:val="00CA61EB"/>
    <w:rsid w:val="00CA6679"/>
    <w:rsid w:val="00CA6F7D"/>
    <w:rsid w:val="00CA7BB0"/>
    <w:rsid w:val="00CB6E19"/>
    <w:rsid w:val="00CC1D83"/>
    <w:rsid w:val="00CC1FC9"/>
    <w:rsid w:val="00CC354D"/>
    <w:rsid w:val="00CC3D2A"/>
    <w:rsid w:val="00CC4195"/>
    <w:rsid w:val="00CC4BE8"/>
    <w:rsid w:val="00CD0407"/>
    <w:rsid w:val="00CE0C13"/>
    <w:rsid w:val="00CE25D4"/>
    <w:rsid w:val="00CE322F"/>
    <w:rsid w:val="00CE3BE2"/>
    <w:rsid w:val="00CF0B24"/>
    <w:rsid w:val="00CF45E4"/>
    <w:rsid w:val="00CF7B3C"/>
    <w:rsid w:val="00D00CA2"/>
    <w:rsid w:val="00D03675"/>
    <w:rsid w:val="00D05565"/>
    <w:rsid w:val="00D074A3"/>
    <w:rsid w:val="00D116C9"/>
    <w:rsid w:val="00D12F41"/>
    <w:rsid w:val="00D134D9"/>
    <w:rsid w:val="00D136A7"/>
    <w:rsid w:val="00D13B11"/>
    <w:rsid w:val="00D14190"/>
    <w:rsid w:val="00D23B49"/>
    <w:rsid w:val="00D23B64"/>
    <w:rsid w:val="00D24942"/>
    <w:rsid w:val="00D24B17"/>
    <w:rsid w:val="00D2591A"/>
    <w:rsid w:val="00D276EA"/>
    <w:rsid w:val="00D27715"/>
    <w:rsid w:val="00D31E37"/>
    <w:rsid w:val="00D32CDC"/>
    <w:rsid w:val="00D34071"/>
    <w:rsid w:val="00D36B6E"/>
    <w:rsid w:val="00D37155"/>
    <w:rsid w:val="00D430CC"/>
    <w:rsid w:val="00D53B9E"/>
    <w:rsid w:val="00D63B1C"/>
    <w:rsid w:val="00D63F82"/>
    <w:rsid w:val="00D679D5"/>
    <w:rsid w:val="00D71A80"/>
    <w:rsid w:val="00D73354"/>
    <w:rsid w:val="00D76D96"/>
    <w:rsid w:val="00D80532"/>
    <w:rsid w:val="00D82358"/>
    <w:rsid w:val="00D859FC"/>
    <w:rsid w:val="00D85F5F"/>
    <w:rsid w:val="00D86FC2"/>
    <w:rsid w:val="00D92903"/>
    <w:rsid w:val="00D95013"/>
    <w:rsid w:val="00D965F4"/>
    <w:rsid w:val="00D96B0E"/>
    <w:rsid w:val="00D979F9"/>
    <w:rsid w:val="00D97D96"/>
    <w:rsid w:val="00DA1D6F"/>
    <w:rsid w:val="00DB0C38"/>
    <w:rsid w:val="00DB1ED7"/>
    <w:rsid w:val="00DB43E6"/>
    <w:rsid w:val="00DC0198"/>
    <w:rsid w:val="00DC1855"/>
    <w:rsid w:val="00DC52D0"/>
    <w:rsid w:val="00DD07FA"/>
    <w:rsid w:val="00DD206B"/>
    <w:rsid w:val="00DD3D5A"/>
    <w:rsid w:val="00DD63EF"/>
    <w:rsid w:val="00DE15A8"/>
    <w:rsid w:val="00DE3A61"/>
    <w:rsid w:val="00DF25A8"/>
    <w:rsid w:val="00DF27F2"/>
    <w:rsid w:val="00DF7927"/>
    <w:rsid w:val="00DF7FC7"/>
    <w:rsid w:val="00E000AA"/>
    <w:rsid w:val="00E016F0"/>
    <w:rsid w:val="00E0213F"/>
    <w:rsid w:val="00E03D7A"/>
    <w:rsid w:val="00E03FD0"/>
    <w:rsid w:val="00E056E6"/>
    <w:rsid w:val="00E10B45"/>
    <w:rsid w:val="00E13DEC"/>
    <w:rsid w:val="00E14547"/>
    <w:rsid w:val="00E15A8B"/>
    <w:rsid w:val="00E1673D"/>
    <w:rsid w:val="00E25042"/>
    <w:rsid w:val="00E267EE"/>
    <w:rsid w:val="00E278BA"/>
    <w:rsid w:val="00E36CF6"/>
    <w:rsid w:val="00E3787D"/>
    <w:rsid w:val="00E40A09"/>
    <w:rsid w:val="00E41782"/>
    <w:rsid w:val="00E4458C"/>
    <w:rsid w:val="00E449DF"/>
    <w:rsid w:val="00E454A7"/>
    <w:rsid w:val="00E50673"/>
    <w:rsid w:val="00E52ABB"/>
    <w:rsid w:val="00E54ED7"/>
    <w:rsid w:val="00E56D53"/>
    <w:rsid w:val="00E57C1A"/>
    <w:rsid w:val="00E609C2"/>
    <w:rsid w:val="00E6110E"/>
    <w:rsid w:val="00E6795B"/>
    <w:rsid w:val="00E711F6"/>
    <w:rsid w:val="00E72721"/>
    <w:rsid w:val="00E75A5E"/>
    <w:rsid w:val="00E772B4"/>
    <w:rsid w:val="00E807A3"/>
    <w:rsid w:val="00E80A44"/>
    <w:rsid w:val="00E80EA3"/>
    <w:rsid w:val="00E8356A"/>
    <w:rsid w:val="00E91F87"/>
    <w:rsid w:val="00E9266B"/>
    <w:rsid w:val="00E944E6"/>
    <w:rsid w:val="00E9457F"/>
    <w:rsid w:val="00E963CF"/>
    <w:rsid w:val="00EA021A"/>
    <w:rsid w:val="00EA113E"/>
    <w:rsid w:val="00EA1699"/>
    <w:rsid w:val="00EA3A6C"/>
    <w:rsid w:val="00EA3BF2"/>
    <w:rsid w:val="00EA4EEB"/>
    <w:rsid w:val="00EA5865"/>
    <w:rsid w:val="00EA796B"/>
    <w:rsid w:val="00EB2399"/>
    <w:rsid w:val="00EB6287"/>
    <w:rsid w:val="00EB751F"/>
    <w:rsid w:val="00EC02E7"/>
    <w:rsid w:val="00EC1F50"/>
    <w:rsid w:val="00EC33C9"/>
    <w:rsid w:val="00EC4C08"/>
    <w:rsid w:val="00EC5E47"/>
    <w:rsid w:val="00EC6218"/>
    <w:rsid w:val="00EC6B1A"/>
    <w:rsid w:val="00ED12E1"/>
    <w:rsid w:val="00ED1E36"/>
    <w:rsid w:val="00ED2CB7"/>
    <w:rsid w:val="00ED2FC1"/>
    <w:rsid w:val="00ED3446"/>
    <w:rsid w:val="00ED443B"/>
    <w:rsid w:val="00ED5B9E"/>
    <w:rsid w:val="00EE0557"/>
    <w:rsid w:val="00EE1817"/>
    <w:rsid w:val="00EE2CD9"/>
    <w:rsid w:val="00EE410F"/>
    <w:rsid w:val="00F04AAC"/>
    <w:rsid w:val="00F056FF"/>
    <w:rsid w:val="00F06ED4"/>
    <w:rsid w:val="00F075EB"/>
    <w:rsid w:val="00F1272B"/>
    <w:rsid w:val="00F12E08"/>
    <w:rsid w:val="00F1302B"/>
    <w:rsid w:val="00F13E7B"/>
    <w:rsid w:val="00F141AC"/>
    <w:rsid w:val="00F14970"/>
    <w:rsid w:val="00F159AF"/>
    <w:rsid w:val="00F16735"/>
    <w:rsid w:val="00F16D54"/>
    <w:rsid w:val="00F17B7F"/>
    <w:rsid w:val="00F204F9"/>
    <w:rsid w:val="00F309A8"/>
    <w:rsid w:val="00F30B7C"/>
    <w:rsid w:val="00F312CE"/>
    <w:rsid w:val="00F31332"/>
    <w:rsid w:val="00F31A73"/>
    <w:rsid w:val="00F33108"/>
    <w:rsid w:val="00F3420D"/>
    <w:rsid w:val="00F34545"/>
    <w:rsid w:val="00F347EA"/>
    <w:rsid w:val="00F37A0C"/>
    <w:rsid w:val="00F41C54"/>
    <w:rsid w:val="00F432D8"/>
    <w:rsid w:val="00F4338D"/>
    <w:rsid w:val="00F449A0"/>
    <w:rsid w:val="00F50665"/>
    <w:rsid w:val="00F52D45"/>
    <w:rsid w:val="00F53C55"/>
    <w:rsid w:val="00F63F0A"/>
    <w:rsid w:val="00F67833"/>
    <w:rsid w:val="00F77E78"/>
    <w:rsid w:val="00F81D0D"/>
    <w:rsid w:val="00F83BD5"/>
    <w:rsid w:val="00F85C0C"/>
    <w:rsid w:val="00F93CDC"/>
    <w:rsid w:val="00F9434F"/>
    <w:rsid w:val="00F958E5"/>
    <w:rsid w:val="00F9728D"/>
    <w:rsid w:val="00FA0B72"/>
    <w:rsid w:val="00FA1779"/>
    <w:rsid w:val="00FA1A3F"/>
    <w:rsid w:val="00FA1FD3"/>
    <w:rsid w:val="00FA71E2"/>
    <w:rsid w:val="00FA7AA7"/>
    <w:rsid w:val="00FB5A81"/>
    <w:rsid w:val="00FB6482"/>
    <w:rsid w:val="00FC1C02"/>
    <w:rsid w:val="00FC35F7"/>
    <w:rsid w:val="00FC5A89"/>
    <w:rsid w:val="00FD0959"/>
    <w:rsid w:val="00FD5F23"/>
    <w:rsid w:val="00FD71A9"/>
    <w:rsid w:val="00FE032F"/>
    <w:rsid w:val="00FF1357"/>
    <w:rsid w:val="00FF166D"/>
    <w:rsid w:val="00FF1D7E"/>
    <w:rsid w:val="00FF3FD6"/>
    <w:rsid w:val="00FF694D"/>
    <w:rsid w:val="00FF70B0"/>
    <w:rsid w:val="00FF7823"/>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6A8D94"/>
  <w15:chartTrackingRefBased/>
  <w15:docId w15:val="{40A104DC-F3B1-7245-A0CC-33E5F2948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042"/>
    <w:pPr>
      <w:spacing w:after="200" w:line="288" w:lineRule="auto"/>
    </w:pPr>
    <w:rPr>
      <w:rFonts w:ascii="Times New Roman" w:eastAsiaTheme="minorEastAsia" w:hAnsi="Times New Roman"/>
      <w:kern w:val="0"/>
      <w:sz w:val="20"/>
      <w:szCs w:val="21"/>
      <w:lang w:val="fr-FR"/>
      <w14:ligatures w14:val="none"/>
    </w:rPr>
  </w:style>
  <w:style w:type="paragraph" w:styleId="Titre1">
    <w:name w:val="heading 1"/>
    <w:basedOn w:val="Normal"/>
    <w:next w:val="Normal"/>
    <w:link w:val="Titre1Car"/>
    <w:uiPriority w:val="9"/>
    <w:qFormat/>
    <w:rsid w:val="002E22F1"/>
    <w:pPr>
      <w:tabs>
        <w:tab w:val="left" w:pos="567"/>
      </w:tabs>
      <w:spacing w:before="240" w:after="120" w:line="360" w:lineRule="auto"/>
      <w:contextualSpacing/>
      <w:jc w:val="both"/>
      <w:outlineLvl w:val="0"/>
    </w:pPr>
    <w:rPr>
      <w:rFonts w:cs="Times New Roman"/>
      <w:b/>
      <w:bCs/>
      <w:sz w:val="26"/>
      <w:szCs w:val="22"/>
    </w:rPr>
  </w:style>
  <w:style w:type="paragraph" w:styleId="Titre2">
    <w:name w:val="heading 2"/>
    <w:basedOn w:val="Paragraphedeliste"/>
    <w:next w:val="Normal"/>
    <w:link w:val="Titre2Car"/>
    <w:uiPriority w:val="9"/>
    <w:unhideWhenUsed/>
    <w:qFormat/>
    <w:rsid w:val="002E22F1"/>
    <w:pPr>
      <w:numPr>
        <w:numId w:val="1"/>
      </w:numPr>
      <w:tabs>
        <w:tab w:val="left" w:pos="567"/>
      </w:tabs>
      <w:spacing w:before="240" w:after="120" w:line="360" w:lineRule="auto"/>
      <w:jc w:val="both"/>
      <w:outlineLvl w:val="1"/>
    </w:pPr>
    <w:rPr>
      <w:rFonts w:cs="Times New Roman"/>
      <w:b/>
      <w:bCs/>
      <w:sz w:val="24"/>
      <w:szCs w:val="22"/>
    </w:rPr>
  </w:style>
  <w:style w:type="paragraph" w:styleId="Titre3">
    <w:name w:val="heading 3"/>
    <w:basedOn w:val="Titre2"/>
    <w:next w:val="Normal"/>
    <w:link w:val="Titre3Car"/>
    <w:uiPriority w:val="9"/>
    <w:unhideWhenUsed/>
    <w:qFormat/>
    <w:rsid w:val="00D86FC2"/>
    <w:pPr>
      <w:numPr>
        <w:ilvl w:val="1"/>
      </w:numPr>
      <w:outlineLvl w:val="2"/>
    </w:pPr>
  </w:style>
  <w:style w:type="paragraph" w:styleId="Titre4">
    <w:name w:val="heading 4"/>
    <w:basedOn w:val="Titre3"/>
    <w:next w:val="Normal"/>
    <w:link w:val="Titre4Car"/>
    <w:uiPriority w:val="9"/>
    <w:unhideWhenUsed/>
    <w:qFormat/>
    <w:rsid w:val="00D86FC2"/>
    <w:pPr>
      <w:numPr>
        <w:ilvl w:val="2"/>
      </w:numPr>
      <w:outlineLvl w:val="3"/>
    </w:pPr>
  </w:style>
  <w:style w:type="paragraph" w:styleId="Titre5">
    <w:name w:val="heading 5"/>
    <w:basedOn w:val="Titre4"/>
    <w:next w:val="Normal"/>
    <w:link w:val="Titre5Car"/>
    <w:uiPriority w:val="9"/>
    <w:unhideWhenUsed/>
    <w:qFormat/>
    <w:rsid w:val="00C803B2"/>
    <w:pPr>
      <w:numPr>
        <w:ilvl w:val="3"/>
      </w:numPr>
      <w:outlineLvl w:val="4"/>
    </w:pPr>
  </w:style>
  <w:style w:type="paragraph" w:styleId="Titre6">
    <w:name w:val="heading 6"/>
    <w:basedOn w:val="Normal"/>
    <w:next w:val="Normal"/>
    <w:link w:val="Titre6Car"/>
    <w:uiPriority w:val="9"/>
    <w:semiHidden/>
    <w:unhideWhenUsed/>
    <w:qFormat/>
    <w:rsid w:val="00F3310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3310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3310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3310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E22F1"/>
    <w:rPr>
      <w:rFonts w:ascii="Times New Roman" w:eastAsiaTheme="minorEastAsia" w:hAnsi="Times New Roman" w:cs="Times New Roman"/>
      <w:b/>
      <w:bCs/>
      <w:kern w:val="0"/>
      <w:sz w:val="26"/>
      <w:szCs w:val="22"/>
      <w:lang w:val="fr-FR"/>
      <w14:ligatures w14:val="none"/>
    </w:rPr>
  </w:style>
  <w:style w:type="character" w:customStyle="1" w:styleId="Titre2Car">
    <w:name w:val="Titre 2 Car"/>
    <w:basedOn w:val="Policepardfaut"/>
    <w:link w:val="Titre2"/>
    <w:uiPriority w:val="9"/>
    <w:rsid w:val="002E22F1"/>
    <w:rPr>
      <w:rFonts w:ascii="Times New Roman" w:eastAsiaTheme="minorEastAsia" w:hAnsi="Times New Roman" w:cs="Times New Roman"/>
      <w:b/>
      <w:bCs/>
      <w:kern w:val="0"/>
      <w:szCs w:val="22"/>
      <w:lang w:val="fr-FR"/>
      <w14:ligatures w14:val="none"/>
    </w:rPr>
  </w:style>
  <w:style w:type="character" w:customStyle="1" w:styleId="Titre3Car">
    <w:name w:val="Titre 3 Car"/>
    <w:basedOn w:val="Policepardfaut"/>
    <w:link w:val="Titre3"/>
    <w:uiPriority w:val="9"/>
    <w:rsid w:val="00D86FC2"/>
    <w:rPr>
      <w:rFonts w:ascii="Times New Roman" w:eastAsiaTheme="minorEastAsia" w:hAnsi="Times New Roman" w:cs="Times New Roman"/>
      <w:b/>
      <w:bCs/>
      <w:kern w:val="0"/>
      <w:szCs w:val="22"/>
      <w:lang w:val="fr-FR"/>
      <w14:ligatures w14:val="none"/>
    </w:rPr>
  </w:style>
  <w:style w:type="character" w:customStyle="1" w:styleId="Titre4Car">
    <w:name w:val="Titre 4 Car"/>
    <w:basedOn w:val="Policepardfaut"/>
    <w:link w:val="Titre4"/>
    <w:uiPriority w:val="9"/>
    <w:rsid w:val="00D86FC2"/>
    <w:rPr>
      <w:rFonts w:ascii="Times New Roman" w:eastAsiaTheme="minorEastAsia" w:hAnsi="Times New Roman" w:cs="Times New Roman"/>
      <w:b/>
      <w:bCs/>
      <w:kern w:val="0"/>
      <w:szCs w:val="22"/>
      <w:lang w:val="fr-FR"/>
      <w14:ligatures w14:val="none"/>
    </w:rPr>
  </w:style>
  <w:style w:type="character" w:customStyle="1" w:styleId="Titre5Car">
    <w:name w:val="Titre 5 Car"/>
    <w:basedOn w:val="Policepardfaut"/>
    <w:link w:val="Titre5"/>
    <w:uiPriority w:val="9"/>
    <w:rsid w:val="00C803B2"/>
    <w:rPr>
      <w:rFonts w:ascii="Times New Roman" w:eastAsiaTheme="minorEastAsia" w:hAnsi="Times New Roman" w:cs="Times New Roman"/>
      <w:b/>
      <w:bCs/>
      <w:kern w:val="0"/>
      <w:szCs w:val="22"/>
      <w:lang w:val="fr-FR"/>
      <w14:ligatures w14:val="none"/>
    </w:rPr>
  </w:style>
  <w:style w:type="character" w:customStyle="1" w:styleId="Titre6Car">
    <w:name w:val="Titre 6 Car"/>
    <w:basedOn w:val="Policepardfaut"/>
    <w:link w:val="Titre6"/>
    <w:uiPriority w:val="9"/>
    <w:semiHidden/>
    <w:rsid w:val="00F3310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3310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3310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33108"/>
    <w:rPr>
      <w:rFonts w:eastAsiaTheme="majorEastAsia" w:cstheme="majorBidi"/>
      <w:color w:val="272727" w:themeColor="text1" w:themeTint="D8"/>
    </w:rPr>
  </w:style>
  <w:style w:type="paragraph" w:styleId="Titre">
    <w:name w:val="Title"/>
    <w:basedOn w:val="Normal"/>
    <w:next w:val="Normal"/>
    <w:link w:val="TitreCar"/>
    <w:uiPriority w:val="10"/>
    <w:qFormat/>
    <w:rsid w:val="00F331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3310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3310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3310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33108"/>
    <w:pPr>
      <w:spacing w:before="160"/>
      <w:jc w:val="center"/>
    </w:pPr>
    <w:rPr>
      <w:i/>
      <w:iCs/>
      <w:color w:val="404040" w:themeColor="text1" w:themeTint="BF"/>
    </w:rPr>
  </w:style>
  <w:style w:type="character" w:customStyle="1" w:styleId="CitationCar">
    <w:name w:val="Citation Car"/>
    <w:basedOn w:val="Policepardfaut"/>
    <w:link w:val="Citation"/>
    <w:uiPriority w:val="29"/>
    <w:rsid w:val="00F33108"/>
    <w:rPr>
      <w:i/>
      <w:iCs/>
      <w:color w:val="404040" w:themeColor="text1" w:themeTint="BF"/>
    </w:rPr>
  </w:style>
  <w:style w:type="paragraph" w:styleId="Paragraphedeliste">
    <w:name w:val="List Paragraph"/>
    <w:aliases w:val="Troisième sous titre,Bullets,References,RM1,AM1List Para,lp1,Liste de points,List Paragraph (numbered (a)),Table/Figure Heading,List Bullet Mary,Numbered Paragraph,Main numbered paragraph,Numbered List Paragraph,123 List Paragraph,1"/>
    <w:basedOn w:val="Normal"/>
    <w:link w:val="ParagraphedelisteCar"/>
    <w:uiPriority w:val="34"/>
    <w:qFormat/>
    <w:rsid w:val="00F33108"/>
    <w:pPr>
      <w:ind w:left="720"/>
      <w:contextualSpacing/>
    </w:pPr>
  </w:style>
  <w:style w:type="character" w:styleId="Accentuationintense">
    <w:name w:val="Intense Emphasis"/>
    <w:basedOn w:val="Policepardfaut"/>
    <w:uiPriority w:val="21"/>
    <w:qFormat/>
    <w:rsid w:val="00F33108"/>
    <w:rPr>
      <w:i/>
      <w:iCs/>
      <w:color w:val="0F4761" w:themeColor="accent1" w:themeShade="BF"/>
    </w:rPr>
  </w:style>
  <w:style w:type="paragraph" w:styleId="Citationintense">
    <w:name w:val="Intense Quote"/>
    <w:basedOn w:val="Normal"/>
    <w:next w:val="Normal"/>
    <w:link w:val="CitationintenseCar"/>
    <w:uiPriority w:val="30"/>
    <w:qFormat/>
    <w:rsid w:val="00F331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33108"/>
    <w:rPr>
      <w:i/>
      <w:iCs/>
      <w:color w:val="0F4761" w:themeColor="accent1" w:themeShade="BF"/>
    </w:rPr>
  </w:style>
  <w:style w:type="character" w:styleId="Rfrenceintense">
    <w:name w:val="Intense Reference"/>
    <w:basedOn w:val="Policepardfaut"/>
    <w:uiPriority w:val="32"/>
    <w:qFormat/>
    <w:rsid w:val="00F33108"/>
    <w:rPr>
      <w:b/>
      <w:bCs/>
      <w:smallCaps/>
      <w:color w:val="0F4761" w:themeColor="accent1" w:themeShade="BF"/>
      <w:spacing w:val="5"/>
    </w:rPr>
  </w:style>
  <w:style w:type="character" w:customStyle="1" w:styleId="ParagraphedelisteCar">
    <w:name w:val="Paragraphe de liste Car"/>
    <w:aliases w:val="Troisième sous titre Car,Bullets Car,References Car,RM1 Car,AM1List Para Car,lp1 Car,Liste de points Car,List Paragraph (numbered (a)) Car,Table/Figure Heading Car,List Bullet Mary Car,Numbered Paragraph Car,1 Car"/>
    <w:basedOn w:val="Policepardfaut"/>
    <w:link w:val="Paragraphedeliste"/>
    <w:uiPriority w:val="34"/>
    <w:qFormat/>
    <w:rsid w:val="00F33108"/>
  </w:style>
  <w:style w:type="paragraph" w:styleId="En-tte">
    <w:name w:val="header"/>
    <w:basedOn w:val="Normal"/>
    <w:link w:val="En-tteCar"/>
    <w:uiPriority w:val="99"/>
    <w:unhideWhenUsed/>
    <w:rsid w:val="00F33108"/>
    <w:pPr>
      <w:tabs>
        <w:tab w:val="center" w:pos="4536"/>
        <w:tab w:val="right" w:pos="9072"/>
      </w:tabs>
    </w:pPr>
  </w:style>
  <w:style w:type="character" w:customStyle="1" w:styleId="En-tteCar">
    <w:name w:val="En-tête Car"/>
    <w:basedOn w:val="Policepardfaut"/>
    <w:link w:val="En-tte"/>
    <w:uiPriority w:val="99"/>
    <w:rsid w:val="00F33108"/>
    <w:rPr>
      <w:rFonts w:ascii="Times New Roman" w:eastAsiaTheme="minorEastAsia" w:hAnsi="Times New Roman"/>
      <w:kern w:val="0"/>
      <w:sz w:val="20"/>
      <w:szCs w:val="21"/>
      <w:lang w:val="fr-FR"/>
      <w14:ligatures w14:val="none"/>
    </w:rPr>
  </w:style>
  <w:style w:type="paragraph" w:styleId="Pieddepage">
    <w:name w:val="footer"/>
    <w:basedOn w:val="Normal"/>
    <w:link w:val="PieddepageCar"/>
    <w:uiPriority w:val="99"/>
    <w:unhideWhenUsed/>
    <w:rsid w:val="00F33108"/>
    <w:pPr>
      <w:tabs>
        <w:tab w:val="center" w:pos="4536"/>
        <w:tab w:val="right" w:pos="9072"/>
      </w:tabs>
    </w:pPr>
  </w:style>
  <w:style w:type="character" w:customStyle="1" w:styleId="PieddepageCar">
    <w:name w:val="Pied de page Car"/>
    <w:basedOn w:val="Policepardfaut"/>
    <w:link w:val="Pieddepage"/>
    <w:uiPriority w:val="99"/>
    <w:rsid w:val="00F33108"/>
    <w:rPr>
      <w:rFonts w:ascii="Times New Roman" w:eastAsiaTheme="minorEastAsia" w:hAnsi="Times New Roman"/>
      <w:kern w:val="0"/>
      <w:sz w:val="20"/>
      <w:szCs w:val="21"/>
      <w:lang w:val="fr-FR"/>
      <w14:ligatures w14:val="none"/>
    </w:rPr>
  </w:style>
  <w:style w:type="table" w:styleId="Grilledutableau">
    <w:name w:val="Table Grid"/>
    <w:basedOn w:val="TableauNormal"/>
    <w:uiPriority w:val="39"/>
    <w:qFormat/>
    <w:rsid w:val="00CC35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aliases w:val="fn,FOOTNOTES,single space,Footnote Text 1,footnote text,Footnote Text Char1,Footnote Text Char Char,Footnote Text Char Char Char Char Char Char,FSR footnote,Footnote,Fußnote,lábléc,Schriftart: 9 pt,Schriftart: 10 pt,Schriftart: 8 pt"/>
    <w:basedOn w:val="Normal"/>
    <w:link w:val="NotedebasdepageCar"/>
    <w:uiPriority w:val="99"/>
    <w:unhideWhenUsed/>
    <w:qFormat/>
    <w:rsid w:val="00EC1F50"/>
    <w:rPr>
      <w:szCs w:val="20"/>
    </w:rPr>
  </w:style>
  <w:style w:type="character" w:customStyle="1" w:styleId="NotedebasdepageCar">
    <w:name w:val="Note de bas de page Car"/>
    <w:aliases w:val="fn Car,FOOTNOTES Car,single space Car,Footnote Text 1 Car,footnote text Car,Footnote Text Char1 Car,Footnote Text Char Char Car,Footnote Text Char Char Char Char Char Char Car,FSR footnote Car,Footnote Car,Fußnote Car,lábléc Car"/>
    <w:basedOn w:val="Policepardfaut"/>
    <w:link w:val="Notedebasdepage"/>
    <w:uiPriority w:val="99"/>
    <w:rsid w:val="00EC1F50"/>
    <w:rPr>
      <w:rFonts w:ascii="Times New Roman" w:eastAsiaTheme="minorEastAsia" w:hAnsi="Times New Roman"/>
      <w:kern w:val="0"/>
      <w:sz w:val="20"/>
      <w:szCs w:val="20"/>
      <w:lang w:val="fr-FR"/>
      <w14:ligatures w14:val="none"/>
    </w:rPr>
  </w:style>
  <w:style w:type="character" w:styleId="Appelnotedebasdep">
    <w:name w:val="footnote reference"/>
    <w:aliases w:val="ftref,fr,Footnote Reference Number,Footnote Reference_LVL6,Footnote Reference_LVL61,Footnote Reference_LVL62,Footnote Reference_LVL63,Footnote Reference_LVL64,Footnote symbol,Rabbani Footnote,Ref,de nota al pie,16 Point,SUPERS"/>
    <w:basedOn w:val="Policepardfaut"/>
    <w:uiPriority w:val="99"/>
    <w:unhideWhenUsed/>
    <w:qFormat/>
    <w:rsid w:val="00EC1F50"/>
    <w:rPr>
      <w:vertAlign w:val="superscript"/>
    </w:rPr>
  </w:style>
  <w:style w:type="paragraph" w:customStyle="1" w:styleId="v1msonormal">
    <w:name w:val="v1msonormal"/>
    <w:basedOn w:val="Normal"/>
    <w:rsid w:val="002645C2"/>
    <w:pPr>
      <w:spacing w:before="100" w:beforeAutospacing="1" w:after="100" w:afterAutospacing="1" w:line="240" w:lineRule="auto"/>
    </w:pPr>
    <w:rPr>
      <w:rFonts w:eastAsia="Times New Roman" w:cs="Times New Roman"/>
      <w:sz w:val="24"/>
      <w:szCs w:val="24"/>
      <w:lang w:eastAsia="fr-FR"/>
    </w:rPr>
  </w:style>
  <w:style w:type="table" w:customStyle="1" w:styleId="TableGrid0">
    <w:name w:val="Table Grid0"/>
    <w:rsid w:val="002645C2"/>
    <w:pPr>
      <w:spacing w:after="0" w:line="240" w:lineRule="auto"/>
    </w:pPr>
    <w:rPr>
      <w:rFonts w:eastAsia="Batang"/>
      <w:lang w:val="fr-FR" w:eastAsia="fr-FR"/>
    </w:rPr>
    <w:tblPr>
      <w:tblCellMar>
        <w:top w:w="0" w:type="dxa"/>
        <w:left w:w="0" w:type="dxa"/>
        <w:bottom w:w="0" w:type="dxa"/>
        <w:right w:w="0" w:type="dxa"/>
      </w:tblCellMar>
    </w:tblPr>
  </w:style>
  <w:style w:type="paragraph" w:styleId="Lgende">
    <w:name w:val="caption"/>
    <w:basedOn w:val="Normal"/>
    <w:next w:val="Normal"/>
    <w:uiPriority w:val="35"/>
    <w:unhideWhenUsed/>
    <w:qFormat/>
    <w:rsid w:val="008B648C"/>
    <w:pPr>
      <w:keepNext/>
      <w:spacing w:before="360" w:after="180" w:line="280" w:lineRule="exact"/>
    </w:pPr>
    <w:rPr>
      <w:rFonts w:asciiTheme="majorHAnsi" w:eastAsia="Times New Roman" w:hAnsiTheme="majorHAnsi" w:cs="Times New Roman"/>
      <w:b/>
      <w:iCs/>
      <w:color w:val="156082" w:themeColor="accent1"/>
      <w:sz w:val="24"/>
      <w:szCs w:val="18"/>
    </w:rPr>
  </w:style>
  <w:style w:type="paragraph" w:customStyle="1" w:styleId="CaptionSubtitle">
    <w:name w:val="Caption Subtitle"/>
    <w:next w:val="Normal"/>
    <w:qFormat/>
    <w:rsid w:val="008B648C"/>
    <w:pPr>
      <w:keepNext/>
      <w:spacing w:after="180" w:line="260" w:lineRule="exact"/>
    </w:pPr>
    <w:rPr>
      <w:rFonts w:asciiTheme="majorHAnsi" w:eastAsia="Times New Roman" w:hAnsiTheme="majorHAnsi" w:cs="Times New Roman"/>
      <w:color w:val="000000" w:themeColor="text1"/>
      <w:kern w:val="0"/>
      <w:sz w:val="22"/>
      <w:szCs w:val="22"/>
      <w:lang w:val="en-GB"/>
      <w14:ligatures w14:val="none"/>
    </w:rPr>
  </w:style>
  <w:style w:type="character" w:styleId="Lienhypertexte">
    <w:name w:val="Hyperlink"/>
    <w:basedOn w:val="Policepardfaut"/>
    <w:uiPriority w:val="99"/>
    <w:unhideWhenUsed/>
    <w:rsid w:val="004B36C1"/>
    <w:rPr>
      <w:color w:val="467886" w:themeColor="hyperlink"/>
      <w:u w:val="single"/>
    </w:rPr>
  </w:style>
  <w:style w:type="character" w:styleId="Mentionnonrsolue">
    <w:name w:val="Unresolved Mention"/>
    <w:basedOn w:val="Policepardfaut"/>
    <w:uiPriority w:val="99"/>
    <w:semiHidden/>
    <w:unhideWhenUsed/>
    <w:rsid w:val="004B36C1"/>
    <w:rPr>
      <w:color w:val="605E5C"/>
      <w:shd w:val="clear" w:color="auto" w:fill="E1DFDD"/>
    </w:rPr>
  </w:style>
  <w:style w:type="paragraph" w:customStyle="1" w:styleId="Default">
    <w:name w:val="Default"/>
    <w:rsid w:val="00713F7E"/>
    <w:pPr>
      <w:autoSpaceDE w:val="0"/>
      <w:autoSpaceDN w:val="0"/>
      <w:adjustRightInd w:val="0"/>
      <w:spacing w:after="0" w:line="240" w:lineRule="auto"/>
    </w:pPr>
    <w:rPr>
      <w:rFonts w:ascii="HelveticaNeueLT Std Med" w:hAnsi="HelveticaNeueLT Std Med" w:cs="HelveticaNeueLT Std Med"/>
      <w:color w:val="000000"/>
      <w:kern w:val="0"/>
      <w:lang w:val="fr-CI"/>
    </w:rPr>
  </w:style>
  <w:style w:type="paragraph" w:customStyle="1" w:styleId="Pa28">
    <w:name w:val="Pa28"/>
    <w:basedOn w:val="Default"/>
    <w:next w:val="Default"/>
    <w:uiPriority w:val="99"/>
    <w:rsid w:val="00713F7E"/>
    <w:pPr>
      <w:spacing w:line="201" w:lineRule="atLeast"/>
    </w:pPr>
    <w:rPr>
      <w:rFonts w:cstheme="minorBidi"/>
      <w:color w:val="auto"/>
    </w:rPr>
  </w:style>
  <w:style w:type="paragraph" w:customStyle="1" w:styleId="Pa36">
    <w:name w:val="Pa36"/>
    <w:basedOn w:val="Default"/>
    <w:next w:val="Default"/>
    <w:uiPriority w:val="99"/>
    <w:rsid w:val="00713F7E"/>
    <w:pPr>
      <w:spacing w:line="201" w:lineRule="atLeast"/>
    </w:pPr>
    <w:rPr>
      <w:rFonts w:cstheme="minorBidi"/>
      <w:color w:val="auto"/>
    </w:rPr>
  </w:style>
  <w:style w:type="character" w:customStyle="1" w:styleId="CorpsdetexteCar">
    <w:name w:val="Corps de texte Car"/>
    <w:basedOn w:val="Policepardfaut"/>
    <w:link w:val="Corpsdetexte"/>
    <w:rsid w:val="009F25BA"/>
    <w:rPr>
      <w:rFonts w:ascii="Arial" w:eastAsia="Arial" w:hAnsi="Arial" w:cs="Arial"/>
      <w:color w:val="58595B"/>
      <w:sz w:val="19"/>
      <w:szCs w:val="19"/>
    </w:rPr>
  </w:style>
  <w:style w:type="paragraph" w:styleId="Corpsdetexte">
    <w:name w:val="Body Text"/>
    <w:basedOn w:val="Normal"/>
    <w:link w:val="CorpsdetexteCar"/>
    <w:qFormat/>
    <w:rsid w:val="009F25BA"/>
    <w:pPr>
      <w:widowControl w:val="0"/>
      <w:spacing w:after="80" w:line="322" w:lineRule="auto"/>
    </w:pPr>
    <w:rPr>
      <w:rFonts w:ascii="Arial" w:eastAsia="Arial" w:hAnsi="Arial" w:cs="Arial"/>
      <w:color w:val="58595B"/>
      <w:kern w:val="2"/>
      <w:sz w:val="19"/>
      <w:szCs w:val="19"/>
      <w:lang w:val="en-CA"/>
      <w14:ligatures w14:val="standardContextual"/>
    </w:rPr>
  </w:style>
  <w:style w:type="character" w:customStyle="1" w:styleId="CorpsdetexteCar1">
    <w:name w:val="Corps de texte Car1"/>
    <w:basedOn w:val="Policepardfaut"/>
    <w:uiPriority w:val="99"/>
    <w:semiHidden/>
    <w:rsid w:val="009F25BA"/>
    <w:rPr>
      <w:rFonts w:ascii="Times New Roman" w:eastAsiaTheme="minorEastAsia" w:hAnsi="Times New Roman"/>
      <w:kern w:val="0"/>
      <w:sz w:val="20"/>
      <w:szCs w:val="21"/>
      <w:lang w:val="fr-FR"/>
      <w14:ligatures w14:val="none"/>
    </w:rPr>
  </w:style>
  <w:style w:type="paragraph" w:customStyle="1" w:styleId="v1gmail-msolistparagraph">
    <w:name w:val="v1gmail-msolistparagraph"/>
    <w:basedOn w:val="Normal"/>
    <w:rsid w:val="00117C4B"/>
    <w:pPr>
      <w:spacing w:before="100" w:beforeAutospacing="1" w:after="100" w:afterAutospacing="1" w:line="240" w:lineRule="auto"/>
    </w:pPr>
    <w:rPr>
      <w:rFonts w:eastAsia="Times New Roman" w:cs="Times New Roman"/>
      <w:sz w:val="24"/>
      <w:szCs w:val="24"/>
      <w:lang w:val="fr-CI" w:eastAsia="fr-CI"/>
    </w:rPr>
  </w:style>
  <w:style w:type="paragraph" w:styleId="Rvision">
    <w:name w:val="Revision"/>
    <w:hidden/>
    <w:uiPriority w:val="99"/>
    <w:semiHidden/>
    <w:rsid w:val="005F626A"/>
    <w:pPr>
      <w:spacing w:after="0" w:line="240" w:lineRule="auto"/>
    </w:pPr>
    <w:rPr>
      <w:rFonts w:ascii="Times New Roman" w:eastAsiaTheme="minorEastAsia" w:hAnsi="Times New Roman"/>
      <w:kern w:val="0"/>
      <w:sz w:val="20"/>
      <w:szCs w:val="21"/>
      <w:lang w:val="fr-FR"/>
      <w14:ligatures w14:val="none"/>
    </w:rPr>
  </w:style>
  <w:style w:type="character" w:styleId="Marquedecommentaire">
    <w:name w:val="annotation reference"/>
    <w:basedOn w:val="Policepardfaut"/>
    <w:uiPriority w:val="99"/>
    <w:unhideWhenUsed/>
    <w:qFormat/>
    <w:rsid w:val="005F626A"/>
    <w:rPr>
      <w:sz w:val="16"/>
      <w:szCs w:val="16"/>
    </w:rPr>
  </w:style>
  <w:style w:type="paragraph" w:styleId="Commentaire">
    <w:name w:val="annotation text"/>
    <w:basedOn w:val="Normal"/>
    <w:link w:val="CommentaireCar"/>
    <w:uiPriority w:val="99"/>
    <w:unhideWhenUsed/>
    <w:qFormat/>
    <w:rsid w:val="005F626A"/>
    <w:pPr>
      <w:spacing w:line="240" w:lineRule="auto"/>
    </w:pPr>
    <w:rPr>
      <w:szCs w:val="20"/>
    </w:rPr>
  </w:style>
  <w:style w:type="character" w:customStyle="1" w:styleId="CommentaireCar">
    <w:name w:val="Commentaire Car"/>
    <w:basedOn w:val="Policepardfaut"/>
    <w:link w:val="Commentaire"/>
    <w:uiPriority w:val="99"/>
    <w:qFormat/>
    <w:rsid w:val="005F626A"/>
    <w:rPr>
      <w:rFonts w:ascii="Times New Roman" w:eastAsiaTheme="minorEastAsia" w:hAnsi="Times New Roman"/>
      <w:kern w:val="0"/>
      <w:sz w:val="20"/>
      <w:szCs w:val="20"/>
      <w:lang w:val="fr-FR"/>
      <w14:ligatures w14:val="none"/>
    </w:rPr>
  </w:style>
  <w:style w:type="paragraph" w:styleId="Objetducommentaire">
    <w:name w:val="annotation subject"/>
    <w:basedOn w:val="Commentaire"/>
    <w:next w:val="Commentaire"/>
    <w:link w:val="ObjetducommentaireCar"/>
    <w:uiPriority w:val="99"/>
    <w:semiHidden/>
    <w:unhideWhenUsed/>
    <w:rsid w:val="005F626A"/>
    <w:rPr>
      <w:b/>
      <w:bCs/>
    </w:rPr>
  </w:style>
  <w:style w:type="character" w:customStyle="1" w:styleId="ObjetducommentaireCar">
    <w:name w:val="Objet du commentaire Car"/>
    <w:basedOn w:val="CommentaireCar"/>
    <w:link w:val="Objetducommentaire"/>
    <w:uiPriority w:val="99"/>
    <w:semiHidden/>
    <w:rsid w:val="005F626A"/>
    <w:rPr>
      <w:rFonts w:ascii="Times New Roman" w:eastAsiaTheme="minorEastAsia" w:hAnsi="Times New Roman"/>
      <w:b/>
      <w:bCs/>
      <w:kern w:val="0"/>
      <w:sz w:val="20"/>
      <w:szCs w:val="20"/>
      <w:lang w:val="fr-FR"/>
      <w14:ligatures w14:val="none"/>
    </w:rPr>
  </w:style>
  <w:style w:type="paragraph" w:styleId="En-ttedetabledesmatires">
    <w:name w:val="TOC Heading"/>
    <w:basedOn w:val="Titre1"/>
    <w:next w:val="Normal"/>
    <w:uiPriority w:val="39"/>
    <w:unhideWhenUsed/>
    <w:qFormat/>
    <w:rsid w:val="002E22F1"/>
    <w:pPr>
      <w:keepNext/>
      <w:keepLines/>
      <w:tabs>
        <w:tab w:val="clear" w:pos="567"/>
      </w:tabs>
      <w:spacing w:after="0" w:line="259" w:lineRule="auto"/>
      <w:contextualSpacing w:val="0"/>
      <w:jc w:val="left"/>
      <w:outlineLvl w:val="9"/>
    </w:pPr>
    <w:rPr>
      <w:rFonts w:asciiTheme="majorHAnsi" w:eastAsiaTheme="majorEastAsia" w:hAnsiTheme="majorHAnsi" w:cstheme="majorBidi"/>
      <w:b w:val="0"/>
      <w:bCs w:val="0"/>
      <w:color w:val="0F4761" w:themeColor="accent1" w:themeShade="BF"/>
      <w:sz w:val="32"/>
      <w:szCs w:val="32"/>
      <w:lang w:val="en-US"/>
    </w:rPr>
  </w:style>
  <w:style w:type="paragraph" w:styleId="TM1">
    <w:name w:val="toc 1"/>
    <w:basedOn w:val="Normal"/>
    <w:next w:val="Normal"/>
    <w:autoRedefine/>
    <w:uiPriority w:val="39"/>
    <w:unhideWhenUsed/>
    <w:rsid w:val="002E22F1"/>
    <w:pPr>
      <w:spacing w:after="100"/>
    </w:pPr>
  </w:style>
  <w:style w:type="paragraph" w:styleId="TM2">
    <w:name w:val="toc 2"/>
    <w:basedOn w:val="Normal"/>
    <w:next w:val="Normal"/>
    <w:autoRedefine/>
    <w:uiPriority w:val="39"/>
    <w:unhideWhenUsed/>
    <w:rsid w:val="002E22F1"/>
    <w:pPr>
      <w:spacing w:after="100"/>
      <w:ind w:left="200"/>
    </w:pPr>
  </w:style>
  <w:style w:type="paragraph" w:styleId="TM3">
    <w:name w:val="toc 3"/>
    <w:basedOn w:val="Normal"/>
    <w:next w:val="Normal"/>
    <w:autoRedefine/>
    <w:uiPriority w:val="39"/>
    <w:unhideWhenUsed/>
    <w:rsid w:val="002E22F1"/>
    <w:pPr>
      <w:spacing w:after="100"/>
      <w:ind w:left="400"/>
    </w:pPr>
  </w:style>
  <w:style w:type="character" w:customStyle="1" w:styleId="cf01">
    <w:name w:val="cf01"/>
    <w:basedOn w:val="Policepardfaut"/>
    <w:rsid w:val="00C803B2"/>
    <w:rPr>
      <w:rFonts w:ascii="Segoe UI" w:hAnsi="Segoe UI" w:cs="Segoe UI" w:hint="default"/>
      <w:color w:val="1F1F1F"/>
      <w:sz w:val="18"/>
      <w:szCs w:val="18"/>
      <w:shd w:val="clear" w:color="auto" w:fill="FFFFFF"/>
    </w:rPr>
  </w:style>
  <w:style w:type="paragraph" w:styleId="NormalWeb">
    <w:name w:val="Normal (Web)"/>
    <w:basedOn w:val="Normal"/>
    <w:uiPriority w:val="99"/>
    <w:unhideWhenUsed/>
    <w:qFormat/>
    <w:rsid w:val="002400E0"/>
    <w:pPr>
      <w:spacing w:before="100" w:beforeAutospacing="1" w:after="100" w:afterAutospacing="1" w:line="240" w:lineRule="auto"/>
    </w:pPr>
    <w:rPr>
      <w:rFonts w:eastAsia="Times New Roman" w:cs="Times New Roman"/>
      <w:sz w:val="24"/>
      <w:szCs w:val="24"/>
      <w:lang w:val="en-CA" w:eastAsia="fr-FR"/>
    </w:rPr>
  </w:style>
  <w:style w:type="paragraph" w:customStyle="1" w:styleId="APPara">
    <w:name w:val="AP Para"/>
    <w:basedOn w:val="Normal"/>
    <w:link w:val="APParaChar"/>
    <w:qFormat/>
    <w:rsid w:val="004066CC"/>
    <w:pPr>
      <w:spacing w:before="120" w:after="120" w:line="240" w:lineRule="auto"/>
      <w:ind w:right="298"/>
      <w:jc w:val="both"/>
    </w:pPr>
    <w:rPr>
      <w:rFonts w:eastAsia="SimSun" w:cs="Times New Roman"/>
      <w:sz w:val="22"/>
      <w:szCs w:val="22"/>
      <w:lang w:val="en-CA"/>
    </w:rPr>
  </w:style>
  <w:style w:type="character" w:customStyle="1" w:styleId="APParaChar">
    <w:name w:val="AP Para Char"/>
    <w:basedOn w:val="Policepardfaut"/>
    <w:link w:val="APPara"/>
    <w:qFormat/>
    <w:rsid w:val="004066CC"/>
    <w:rPr>
      <w:rFonts w:ascii="Times New Roman" w:eastAsia="SimSun" w:hAnsi="Times New Roman" w:cs="Times New Roman"/>
      <w:kern w:val="0"/>
      <w:sz w:val="22"/>
      <w:szCs w:val="22"/>
      <w14:ligatures w14:val="none"/>
    </w:rPr>
  </w:style>
  <w:style w:type="character" w:customStyle="1" w:styleId="fontstyle01">
    <w:name w:val="fontstyle01"/>
    <w:basedOn w:val="Policepardfaut"/>
    <w:rsid w:val="009143E3"/>
    <w:rPr>
      <w:rFonts w:ascii="TimesNewRomanPS-BoldMT" w:hAnsi="TimesNewRomanPS-BoldMT" w:hint="default"/>
      <w:b/>
      <w:bCs/>
      <w:i w:val="0"/>
      <w:iCs w:val="0"/>
      <w:color w:val="4E81BC"/>
      <w:sz w:val="24"/>
      <w:szCs w:val="24"/>
    </w:rPr>
  </w:style>
  <w:style w:type="character" w:customStyle="1" w:styleId="fontstyle21">
    <w:name w:val="fontstyle21"/>
    <w:basedOn w:val="Policepardfaut"/>
    <w:rsid w:val="009143E3"/>
    <w:rPr>
      <w:rFonts w:ascii="TimesNewRomanPSMT" w:hAnsi="TimesNewRomanPSMT" w:hint="default"/>
      <w:b w:val="0"/>
      <w:bCs w:val="0"/>
      <w:i w:val="0"/>
      <w:iCs w:val="0"/>
      <w:color w:val="000000"/>
      <w:sz w:val="22"/>
      <w:szCs w:val="22"/>
    </w:rPr>
  </w:style>
  <w:style w:type="character" w:styleId="lev">
    <w:name w:val="Strong"/>
    <w:uiPriority w:val="22"/>
    <w:qFormat/>
    <w:rsid w:val="005F66D7"/>
    <w:rPr>
      <w:b/>
      <w:bCs/>
    </w:rPr>
  </w:style>
  <w:style w:type="table" w:customStyle="1" w:styleId="TableNormal">
    <w:name w:val="Table Normal"/>
    <w:uiPriority w:val="2"/>
    <w:semiHidden/>
    <w:unhideWhenUsed/>
    <w:qFormat/>
    <w:rsid w:val="00F31332"/>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F31332"/>
    <w:pPr>
      <w:widowControl w:val="0"/>
      <w:autoSpaceDE w:val="0"/>
      <w:autoSpaceDN w:val="0"/>
      <w:spacing w:after="0" w:line="240" w:lineRule="auto"/>
    </w:pPr>
    <w:rPr>
      <w:rFonts w:eastAsia="Times New Roman" w:cs="Times New Roman"/>
      <w:sz w:val="22"/>
      <w:szCs w:val="22"/>
      <w:lang w:val="en-US"/>
    </w:rPr>
  </w:style>
  <w:style w:type="character" w:customStyle="1" w:styleId="mord">
    <w:name w:val="mord"/>
    <w:basedOn w:val="Policepardfaut"/>
    <w:rsid w:val="00114BAD"/>
  </w:style>
  <w:style w:type="character" w:styleId="Accentuation">
    <w:name w:val="Emphasis"/>
    <w:basedOn w:val="Policepardfaut"/>
    <w:uiPriority w:val="20"/>
    <w:qFormat/>
    <w:rsid w:val="00F83BD5"/>
    <w:rPr>
      <w:i/>
      <w:iCs/>
    </w:rPr>
  </w:style>
  <w:style w:type="paragraph" w:customStyle="1" w:styleId="Paragraphedeliste1">
    <w:name w:val="Paragraphe de liste1"/>
    <w:basedOn w:val="Normal"/>
    <w:uiPriority w:val="99"/>
    <w:rsid w:val="00C95353"/>
    <w:pPr>
      <w:spacing w:line="276" w:lineRule="auto"/>
      <w:ind w:left="720"/>
    </w:pPr>
    <w:rPr>
      <w:rFonts w:ascii="Calibri" w:eastAsia="Times New Roman" w:hAnsi="Calibri" w:cs="Calibri"/>
      <w:sz w:val="22"/>
      <w:szCs w:val="22"/>
      <w:lang w:val="en-US"/>
    </w:rPr>
  </w:style>
  <w:style w:type="character" w:customStyle="1" w:styleId="katex-mathml">
    <w:name w:val="katex-mathml"/>
    <w:basedOn w:val="Policepardfaut"/>
    <w:rsid w:val="004F51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8713">
      <w:bodyDiv w:val="1"/>
      <w:marLeft w:val="0"/>
      <w:marRight w:val="0"/>
      <w:marTop w:val="0"/>
      <w:marBottom w:val="0"/>
      <w:divBdr>
        <w:top w:val="none" w:sz="0" w:space="0" w:color="auto"/>
        <w:left w:val="none" w:sz="0" w:space="0" w:color="auto"/>
        <w:bottom w:val="none" w:sz="0" w:space="0" w:color="auto"/>
        <w:right w:val="none" w:sz="0" w:space="0" w:color="auto"/>
      </w:divBdr>
    </w:div>
    <w:div w:id="50076266">
      <w:bodyDiv w:val="1"/>
      <w:marLeft w:val="0"/>
      <w:marRight w:val="0"/>
      <w:marTop w:val="0"/>
      <w:marBottom w:val="0"/>
      <w:divBdr>
        <w:top w:val="none" w:sz="0" w:space="0" w:color="auto"/>
        <w:left w:val="none" w:sz="0" w:space="0" w:color="auto"/>
        <w:bottom w:val="none" w:sz="0" w:space="0" w:color="auto"/>
        <w:right w:val="none" w:sz="0" w:space="0" w:color="auto"/>
      </w:divBdr>
    </w:div>
    <w:div w:id="64842105">
      <w:bodyDiv w:val="1"/>
      <w:marLeft w:val="0"/>
      <w:marRight w:val="0"/>
      <w:marTop w:val="0"/>
      <w:marBottom w:val="0"/>
      <w:divBdr>
        <w:top w:val="none" w:sz="0" w:space="0" w:color="auto"/>
        <w:left w:val="none" w:sz="0" w:space="0" w:color="auto"/>
        <w:bottom w:val="none" w:sz="0" w:space="0" w:color="auto"/>
        <w:right w:val="none" w:sz="0" w:space="0" w:color="auto"/>
      </w:divBdr>
    </w:div>
    <w:div w:id="90591942">
      <w:bodyDiv w:val="1"/>
      <w:marLeft w:val="0"/>
      <w:marRight w:val="0"/>
      <w:marTop w:val="0"/>
      <w:marBottom w:val="0"/>
      <w:divBdr>
        <w:top w:val="none" w:sz="0" w:space="0" w:color="auto"/>
        <w:left w:val="none" w:sz="0" w:space="0" w:color="auto"/>
        <w:bottom w:val="none" w:sz="0" w:space="0" w:color="auto"/>
        <w:right w:val="none" w:sz="0" w:space="0" w:color="auto"/>
      </w:divBdr>
    </w:div>
    <w:div w:id="140930175">
      <w:bodyDiv w:val="1"/>
      <w:marLeft w:val="0"/>
      <w:marRight w:val="0"/>
      <w:marTop w:val="0"/>
      <w:marBottom w:val="0"/>
      <w:divBdr>
        <w:top w:val="none" w:sz="0" w:space="0" w:color="auto"/>
        <w:left w:val="none" w:sz="0" w:space="0" w:color="auto"/>
        <w:bottom w:val="none" w:sz="0" w:space="0" w:color="auto"/>
        <w:right w:val="none" w:sz="0" w:space="0" w:color="auto"/>
      </w:divBdr>
    </w:div>
    <w:div w:id="174997099">
      <w:bodyDiv w:val="1"/>
      <w:marLeft w:val="0"/>
      <w:marRight w:val="0"/>
      <w:marTop w:val="0"/>
      <w:marBottom w:val="0"/>
      <w:divBdr>
        <w:top w:val="none" w:sz="0" w:space="0" w:color="auto"/>
        <w:left w:val="none" w:sz="0" w:space="0" w:color="auto"/>
        <w:bottom w:val="none" w:sz="0" w:space="0" w:color="auto"/>
        <w:right w:val="none" w:sz="0" w:space="0" w:color="auto"/>
      </w:divBdr>
    </w:div>
    <w:div w:id="245576916">
      <w:bodyDiv w:val="1"/>
      <w:marLeft w:val="0"/>
      <w:marRight w:val="0"/>
      <w:marTop w:val="0"/>
      <w:marBottom w:val="0"/>
      <w:divBdr>
        <w:top w:val="none" w:sz="0" w:space="0" w:color="auto"/>
        <w:left w:val="none" w:sz="0" w:space="0" w:color="auto"/>
        <w:bottom w:val="none" w:sz="0" w:space="0" w:color="auto"/>
        <w:right w:val="none" w:sz="0" w:space="0" w:color="auto"/>
      </w:divBdr>
    </w:div>
    <w:div w:id="255329323">
      <w:bodyDiv w:val="1"/>
      <w:marLeft w:val="0"/>
      <w:marRight w:val="0"/>
      <w:marTop w:val="0"/>
      <w:marBottom w:val="0"/>
      <w:divBdr>
        <w:top w:val="none" w:sz="0" w:space="0" w:color="auto"/>
        <w:left w:val="none" w:sz="0" w:space="0" w:color="auto"/>
        <w:bottom w:val="none" w:sz="0" w:space="0" w:color="auto"/>
        <w:right w:val="none" w:sz="0" w:space="0" w:color="auto"/>
      </w:divBdr>
    </w:div>
    <w:div w:id="285163214">
      <w:bodyDiv w:val="1"/>
      <w:marLeft w:val="0"/>
      <w:marRight w:val="0"/>
      <w:marTop w:val="0"/>
      <w:marBottom w:val="0"/>
      <w:divBdr>
        <w:top w:val="none" w:sz="0" w:space="0" w:color="auto"/>
        <w:left w:val="none" w:sz="0" w:space="0" w:color="auto"/>
        <w:bottom w:val="none" w:sz="0" w:space="0" w:color="auto"/>
        <w:right w:val="none" w:sz="0" w:space="0" w:color="auto"/>
      </w:divBdr>
    </w:div>
    <w:div w:id="338705090">
      <w:bodyDiv w:val="1"/>
      <w:marLeft w:val="0"/>
      <w:marRight w:val="0"/>
      <w:marTop w:val="0"/>
      <w:marBottom w:val="0"/>
      <w:divBdr>
        <w:top w:val="none" w:sz="0" w:space="0" w:color="auto"/>
        <w:left w:val="none" w:sz="0" w:space="0" w:color="auto"/>
        <w:bottom w:val="none" w:sz="0" w:space="0" w:color="auto"/>
        <w:right w:val="none" w:sz="0" w:space="0" w:color="auto"/>
      </w:divBdr>
    </w:div>
    <w:div w:id="455878269">
      <w:bodyDiv w:val="1"/>
      <w:marLeft w:val="0"/>
      <w:marRight w:val="0"/>
      <w:marTop w:val="0"/>
      <w:marBottom w:val="0"/>
      <w:divBdr>
        <w:top w:val="none" w:sz="0" w:space="0" w:color="auto"/>
        <w:left w:val="none" w:sz="0" w:space="0" w:color="auto"/>
        <w:bottom w:val="none" w:sz="0" w:space="0" w:color="auto"/>
        <w:right w:val="none" w:sz="0" w:space="0" w:color="auto"/>
      </w:divBdr>
    </w:div>
    <w:div w:id="500387744">
      <w:bodyDiv w:val="1"/>
      <w:marLeft w:val="0"/>
      <w:marRight w:val="0"/>
      <w:marTop w:val="0"/>
      <w:marBottom w:val="0"/>
      <w:divBdr>
        <w:top w:val="none" w:sz="0" w:space="0" w:color="auto"/>
        <w:left w:val="none" w:sz="0" w:space="0" w:color="auto"/>
        <w:bottom w:val="none" w:sz="0" w:space="0" w:color="auto"/>
        <w:right w:val="none" w:sz="0" w:space="0" w:color="auto"/>
      </w:divBdr>
    </w:div>
    <w:div w:id="521749459">
      <w:bodyDiv w:val="1"/>
      <w:marLeft w:val="0"/>
      <w:marRight w:val="0"/>
      <w:marTop w:val="0"/>
      <w:marBottom w:val="0"/>
      <w:divBdr>
        <w:top w:val="none" w:sz="0" w:space="0" w:color="auto"/>
        <w:left w:val="none" w:sz="0" w:space="0" w:color="auto"/>
        <w:bottom w:val="none" w:sz="0" w:space="0" w:color="auto"/>
        <w:right w:val="none" w:sz="0" w:space="0" w:color="auto"/>
      </w:divBdr>
    </w:div>
    <w:div w:id="524757741">
      <w:bodyDiv w:val="1"/>
      <w:marLeft w:val="0"/>
      <w:marRight w:val="0"/>
      <w:marTop w:val="0"/>
      <w:marBottom w:val="0"/>
      <w:divBdr>
        <w:top w:val="none" w:sz="0" w:space="0" w:color="auto"/>
        <w:left w:val="none" w:sz="0" w:space="0" w:color="auto"/>
        <w:bottom w:val="none" w:sz="0" w:space="0" w:color="auto"/>
        <w:right w:val="none" w:sz="0" w:space="0" w:color="auto"/>
      </w:divBdr>
    </w:div>
    <w:div w:id="587156508">
      <w:bodyDiv w:val="1"/>
      <w:marLeft w:val="0"/>
      <w:marRight w:val="0"/>
      <w:marTop w:val="0"/>
      <w:marBottom w:val="0"/>
      <w:divBdr>
        <w:top w:val="none" w:sz="0" w:space="0" w:color="auto"/>
        <w:left w:val="none" w:sz="0" w:space="0" w:color="auto"/>
        <w:bottom w:val="none" w:sz="0" w:space="0" w:color="auto"/>
        <w:right w:val="none" w:sz="0" w:space="0" w:color="auto"/>
      </w:divBdr>
    </w:div>
    <w:div w:id="680740877">
      <w:bodyDiv w:val="1"/>
      <w:marLeft w:val="0"/>
      <w:marRight w:val="0"/>
      <w:marTop w:val="0"/>
      <w:marBottom w:val="0"/>
      <w:divBdr>
        <w:top w:val="none" w:sz="0" w:space="0" w:color="auto"/>
        <w:left w:val="none" w:sz="0" w:space="0" w:color="auto"/>
        <w:bottom w:val="none" w:sz="0" w:space="0" w:color="auto"/>
        <w:right w:val="none" w:sz="0" w:space="0" w:color="auto"/>
      </w:divBdr>
    </w:div>
    <w:div w:id="706570010">
      <w:bodyDiv w:val="1"/>
      <w:marLeft w:val="0"/>
      <w:marRight w:val="0"/>
      <w:marTop w:val="0"/>
      <w:marBottom w:val="0"/>
      <w:divBdr>
        <w:top w:val="none" w:sz="0" w:space="0" w:color="auto"/>
        <w:left w:val="none" w:sz="0" w:space="0" w:color="auto"/>
        <w:bottom w:val="none" w:sz="0" w:space="0" w:color="auto"/>
        <w:right w:val="none" w:sz="0" w:space="0" w:color="auto"/>
      </w:divBdr>
    </w:div>
    <w:div w:id="731777534">
      <w:bodyDiv w:val="1"/>
      <w:marLeft w:val="0"/>
      <w:marRight w:val="0"/>
      <w:marTop w:val="0"/>
      <w:marBottom w:val="0"/>
      <w:divBdr>
        <w:top w:val="none" w:sz="0" w:space="0" w:color="auto"/>
        <w:left w:val="none" w:sz="0" w:space="0" w:color="auto"/>
        <w:bottom w:val="none" w:sz="0" w:space="0" w:color="auto"/>
        <w:right w:val="none" w:sz="0" w:space="0" w:color="auto"/>
      </w:divBdr>
    </w:div>
    <w:div w:id="787088487">
      <w:bodyDiv w:val="1"/>
      <w:marLeft w:val="0"/>
      <w:marRight w:val="0"/>
      <w:marTop w:val="0"/>
      <w:marBottom w:val="0"/>
      <w:divBdr>
        <w:top w:val="none" w:sz="0" w:space="0" w:color="auto"/>
        <w:left w:val="none" w:sz="0" w:space="0" w:color="auto"/>
        <w:bottom w:val="none" w:sz="0" w:space="0" w:color="auto"/>
        <w:right w:val="none" w:sz="0" w:space="0" w:color="auto"/>
      </w:divBdr>
    </w:div>
    <w:div w:id="805394657">
      <w:bodyDiv w:val="1"/>
      <w:marLeft w:val="0"/>
      <w:marRight w:val="0"/>
      <w:marTop w:val="0"/>
      <w:marBottom w:val="0"/>
      <w:divBdr>
        <w:top w:val="none" w:sz="0" w:space="0" w:color="auto"/>
        <w:left w:val="none" w:sz="0" w:space="0" w:color="auto"/>
        <w:bottom w:val="none" w:sz="0" w:space="0" w:color="auto"/>
        <w:right w:val="none" w:sz="0" w:space="0" w:color="auto"/>
      </w:divBdr>
    </w:div>
    <w:div w:id="855189959">
      <w:bodyDiv w:val="1"/>
      <w:marLeft w:val="0"/>
      <w:marRight w:val="0"/>
      <w:marTop w:val="0"/>
      <w:marBottom w:val="0"/>
      <w:divBdr>
        <w:top w:val="none" w:sz="0" w:space="0" w:color="auto"/>
        <w:left w:val="none" w:sz="0" w:space="0" w:color="auto"/>
        <w:bottom w:val="none" w:sz="0" w:space="0" w:color="auto"/>
        <w:right w:val="none" w:sz="0" w:space="0" w:color="auto"/>
      </w:divBdr>
    </w:div>
    <w:div w:id="895508402">
      <w:bodyDiv w:val="1"/>
      <w:marLeft w:val="0"/>
      <w:marRight w:val="0"/>
      <w:marTop w:val="0"/>
      <w:marBottom w:val="0"/>
      <w:divBdr>
        <w:top w:val="none" w:sz="0" w:space="0" w:color="auto"/>
        <w:left w:val="none" w:sz="0" w:space="0" w:color="auto"/>
        <w:bottom w:val="none" w:sz="0" w:space="0" w:color="auto"/>
        <w:right w:val="none" w:sz="0" w:space="0" w:color="auto"/>
      </w:divBdr>
    </w:div>
    <w:div w:id="907349113">
      <w:bodyDiv w:val="1"/>
      <w:marLeft w:val="0"/>
      <w:marRight w:val="0"/>
      <w:marTop w:val="0"/>
      <w:marBottom w:val="0"/>
      <w:divBdr>
        <w:top w:val="none" w:sz="0" w:space="0" w:color="auto"/>
        <w:left w:val="none" w:sz="0" w:space="0" w:color="auto"/>
        <w:bottom w:val="none" w:sz="0" w:space="0" w:color="auto"/>
        <w:right w:val="none" w:sz="0" w:space="0" w:color="auto"/>
      </w:divBdr>
    </w:div>
    <w:div w:id="932320109">
      <w:bodyDiv w:val="1"/>
      <w:marLeft w:val="0"/>
      <w:marRight w:val="0"/>
      <w:marTop w:val="0"/>
      <w:marBottom w:val="0"/>
      <w:divBdr>
        <w:top w:val="none" w:sz="0" w:space="0" w:color="auto"/>
        <w:left w:val="none" w:sz="0" w:space="0" w:color="auto"/>
        <w:bottom w:val="none" w:sz="0" w:space="0" w:color="auto"/>
        <w:right w:val="none" w:sz="0" w:space="0" w:color="auto"/>
      </w:divBdr>
    </w:div>
    <w:div w:id="967662391">
      <w:bodyDiv w:val="1"/>
      <w:marLeft w:val="0"/>
      <w:marRight w:val="0"/>
      <w:marTop w:val="0"/>
      <w:marBottom w:val="0"/>
      <w:divBdr>
        <w:top w:val="none" w:sz="0" w:space="0" w:color="auto"/>
        <w:left w:val="none" w:sz="0" w:space="0" w:color="auto"/>
        <w:bottom w:val="none" w:sz="0" w:space="0" w:color="auto"/>
        <w:right w:val="none" w:sz="0" w:space="0" w:color="auto"/>
      </w:divBdr>
    </w:div>
    <w:div w:id="996760079">
      <w:bodyDiv w:val="1"/>
      <w:marLeft w:val="0"/>
      <w:marRight w:val="0"/>
      <w:marTop w:val="0"/>
      <w:marBottom w:val="0"/>
      <w:divBdr>
        <w:top w:val="none" w:sz="0" w:space="0" w:color="auto"/>
        <w:left w:val="none" w:sz="0" w:space="0" w:color="auto"/>
        <w:bottom w:val="none" w:sz="0" w:space="0" w:color="auto"/>
        <w:right w:val="none" w:sz="0" w:space="0" w:color="auto"/>
      </w:divBdr>
    </w:div>
    <w:div w:id="1076130461">
      <w:bodyDiv w:val="1"/>
      <w:marLeft w:val="0"/>
      <w:marRight w:val="0"/>
      <w:marTop w:val="0"/>
      <w:marBottom w:val="0"/>
      <w:divBdr>
        <w:top w:val="none" w:sz="0" w:space="0" w:color="auto"/>
        <w:left w:val="none" w:sz="0" w:space="0" w:color="auto"/>
        <w:bottom w:val="none" w:sz="0" w:space="0" w:color="auto"/>
        <w:right w:val="none" w:sz="0" w:space="0" w:color="auto"/>
      </w:divBdr>
    </w:div>
    <w:div w:id="1174803685">
      <w:bodyDiv w:val="1"/>
      <w:marLeft w:val="0"/>
      <w:marRight w:val="0"/>
      <w:marTop w:val="0"/>
      <w:marBottom w:val="0"/>
      <w:divBdr>
        <w:top w:val="none" w:sz="0" w:space="0" w:color="auto"/>
        <w:left w:val="none" w:sz="0" w:space="0" w:color="auto"/>
        <w:bottom w:val="none" w:sz="0" w:space="0" w:color="auto"/>
        <w:right w:val="none" w:sz="0" w:space="0" w:color="auto"/>
      </w:divBdr>
    </w:div>
    <w:div w:id="1233540936">
      <w:bodyDiv w:val="1"/>
      <w:marLeft w:val="0"/>
      <w:marRight w:val="0"/>
      <w:marTop w:val="0"/>
      <w:marBottom w:val="0"/>
      <w:divBdr>
        <w:top w:val="none" w:sz="0" w:space="0" w:color="auto"/>
        <w:left w:val="none" w:sz="0" w:space="0" w:color="auto"/>
        <w:bottom w:val="none" w:sz="0" w:space="0" w:color="auto"/>
        <w:right w:val="none" w:sz="0" w:space="0" w:color="auto"/>
      </w:divBdr>
    </w:div>
    <w:div w:id="1449932448">
      <w:bodyDiv w:val="1"/>
      <w:marLeft w:val="0"/>
      <w:marRight w:val="0"/>
      <w:marTop w:val="0"/>
      <w:marBottom w:val="0"/>
      <w:divBdr>
        <w:top w:val="none" w:sz="0" w:space="0" w:color="auto"/>
        <w:left w:val="none" w:sz="0" w:space="0" w:color="auto"/>
        <w:bottom w:val="none" w:sz="0" w:space="0" w:color="auto"/>
        <w:right w:val="none" w:sz="0" w:space="0" w:color="auto"/>
      </w:divBdr>
    </w:div>
    <w:div w:id="1492066123">
      <w:bodyDiv w:val="1"/>
      <w:marLeft w:val="0"/>
      <w:marRight w:val="0"/>
      <w:marTop w:val="0"/>
      <w:marBottom w:val="0"/>
      <w:divBdr>
        <w:top w:val="none" w:sz="0" w:space="0" w:color="auto"/>
        <w:left w:val="none" w:sz="0" w:space="0" w:color="auto"/>
        <w:bottom w:val="none" w:sz="0" w:space="0" w:color="auto"/>
        <w:right w:val="none" w:sz="0" w:space="0" w:color="auto"/>
      </w:divBdr>
    </w:div>
    <w:div w:id="1504122900">
      <w:bodyDiv w:val="1"/>
      <w:marLeft w:val="0"/>
      <w:marRight w:val="0"/>
      <w:marTop w:val="0"/>
      <w:marBottom w:val="0"/>
      <w:divBdr>
        <w:top w:val="none" w:sz="0" w:space="0" w:color="auto"/>
        <w:left w:val="none" w:sz="0" w:space="0" w:color="auto"/>
        <w:bottom w:val="none" w:sz="0" w:space="0" w:color="auto"/>
        <w:right w:val="none" w:sz="0" w:space="0" w:color="auto"/>
      </w:divBdr>
    </w:div>
    <w:div w:id="1543713818">
      <w:bodyDiv w:val="1"/>
      <w:marLeft w:val="0"/>
      <w:marRight w:val="0"/>
      <w:marTop w:val="0"/>
      <w:marBottom w:val="0"/>
      <w:divBdr>
        <w:top w:val="none" w:sz="0" w:space="0" w:color="auto"/>
        <w:left w:val="none" w:sz="0" w:space="0" w:color="auto"/>
        <w:bottom w:val="none" w:sz="0" w:space="0" w:color="auto"/>
        <w:right w:val="none" w:sz="0" w:space="0" w:color="auto"/>
      </w:divBdr>
    </w:div>
    <w:div w:id="1581138619">
      <w:bodyDiv w:val="1"/>
      <w:marLeft w:val="0"/>
      <w:marRight w:val="0"/>
      <w:marTop w:val="0"/>
      <w:marBottom w:val="0"/>
      <w:divBdr>
        <w:top w:val="none" w:sz="0" w:space="0" w:color="auto"/>
        <w:left w:val="none" w:sz="0" w:space="0" w:color="auto"/>
        <w:bottom w:val="none" w:sz="0" w:space="0" w:color="auto"/>
        <w:right w:val="none" w:sz="0" w:space="0" w:color="auto"/>
      </w:divBdr>
    </w:div>
    <w:div w:id="1613710737">
      <w:bodyDiv w:val="1"/>
      <w:marLeft w:val="0"/>
      <w:marRight w:val="0"/>
      <w:marTop w:val="0"/>
      <w:marBottom w:val="0"/>
      <w:divBdr>
        <w:top w:val="none" w:sz="0" w:space="0" w:color="auto"/>
        <w:left w:val="none" w:sz="0" w:space="0" w:color="auto"/>
        <w:bottom w:val="none" w:sz="0" w:space="0" w:color="auto"/>
        <w:right w:val="none" w:sz="0" w:space="0" w:color="auto"/>
      </w:divBdr>
    </w:div>
    <w:div w:id="1615360268">
      <w:bodyDiv w:val="1"/>
      <w:marLeft w:val="0"/>
      <w:marRight w:val="0"/>
      <w:marTop w:val="0"/>
      <w:marBottom w:val="0"/>
      <w:divBdr>
        <w:top w:val="none" w:sz="0" w:space="0" w:color="auto"/>
        <w:left w:val="none" w:sz="0" w:space="0" w:color="auto"/>
        <w:bottom w:val="none" w:sz="0" w:space="0" w:color="auto"/>
        <w:right w:val="none" w:sz="0" w:space="0" w:color="auto"/>
      </w:divBdr>
    </w:div>
    <w:div w:id="1619725704">
      <w:bodyDiv w:val="1"/>
      <w:marLeft w:val="0"/>
      <w:marRight w:val="0"/>
      <w:marTop w:val="0"/>
      <w:marBottom w:val="0"/>
      <w:divBdr>
        <w:top w:val="none" w:sz="0" w:space="0" w:color="auto"/>
        <w:left w:val="none" w:sz="0" w:space="0" w:color="auto"/>
        <w:bottom w:val="none" w:sz="0" w:space="0" w:color="auto"/>
        <w:right w:val="none" w:sz="0" w:space="0" w:color="auto"/>
      </w:divBdr>
    </w:div>
    <w:div w:id="1639995894">
      <w:bodyDiv w:val="1"/>
      <w:marLeft w:val="0"/>
      <w:marRight w:val="0"/>
      <w:marTop w:val="0"/>
      <w:marBottom w:val="0"/>
      <w:divBdr>
        <w:top w:val="none" w:sz="0" w:space="0" w:color="auto"/>
        <w:left w:val="none" w:sz="0" w:space="0" w:color="auto"/>
        <w:bottom w:val="none" w:sz="0" w:space="0" w:color="auto"/>
        <w:right w:val="none" w:sz="0" w:space="0" w:color="auto"/>
      </w:divBdr>
    </w:div>
    <w:div w:id="1703557806">
      <w:bodyDiv w:val="1"/>
      <w:marLeft w:val="0"/>
      <w:marRight w:val="0"/>
      <w:marTop w:val="0"/>
      <w:marBottom w:val="0"/>
      <w:divBdr>
        <w:top w:val="none" w:sz="0" w:space="0" w:color="auto"/>
        <w:left w:val="none" w:sz="0" w:space="0" w:color="auto"/>
        <w:bottom w:val="none" w:sz="0" w:space="0" w:color="auto"/>
        <w:right w:val="none" w:sz="0" w:space="0" w:color="auto"/>
      </w:divBdr>
    </w:div>
    <w:div w:id="1788281440">
      <w:bodyDiv w:val="1"/>
      <w:marLeft w:val="0"/>
      <w:marRight w:val="0"/>
      <w:marTop w:val="0"/>
      <w:marBottom w:val="0"/>
      <w:divBdr>
        <w:top w:val="none" w:sz="0" w:space="0" w:color="auto"/>
        <w:left w:val="none" w:sz="0" w:space="0" w:color="auto"/>
        <w:bottom w:val="none" w:sz="0" w:space="0" w:color="auto"/>
        <w:right w:val="none" w:sz="0" w:space="0" w:color="auto"/>
      </w:divBdr>
    </w:div>
    <w:div w:id="1810126639">
      <w:bodyDiv w:val="1"/>
      <w:marLeft w:val="0"/>
      <w:marRight w:val="0"/>
      <w:marTop w:val="0"/>
      <w:marBottom w:val="0"/>
      <w:divBdr>
        <w:top w:val="none" w:sz="0" w:space="0" w:color="auto"/>
        <w:left w:val="none" w:sz="0" w:space="0" w:color="auto"/>
        <w:bottom w:val="none" w:sz="0" w:space="0" w:color="auto"/>
        <w:right w:val="none" w:sz="0" w:space="0" w:color="auto"/>
      </w:divBdr>
    </w:div>
    <w:div w:id="1900748736">
      <w:bodyDiv w:val="1"/>
      <w:marLeft w:val="0"/>
      <w:marRight w:val="0"/>
      <w:marTop w:val="0"/>
      <w:marBottom w:val="0"/>
      <w:divBdr>
        <w:top w:val="none" w:sz="0" w:space="0" w:color="auto"/>
        <w:left w:val="none" w:sz="0" w:space="0" w:color="auto"/>
        <w:bottom w:val="none" w:sz="0" w:space="0" w:color="auto"/>
        <w:right w:val="none" w:sz="0" w:space="0" w:color="auto"/>
      </w:divBdr>
    </w:div>
    <w:div w:id="1948848621">
      <w:bodyDiv w:val="1"/>
      <w:marLeft w:val="0"/>
      <w:marRight w:val="0"/>
      <w:marTop w:val="0"/>
      <w:marBottom w:val="0"/>
      <w:divBdr>
        <w:top w:val="none" w:sz="0" w:space="0" w:color="auto"/>
        <w:left w:val="none" w:sz="0" w:space="0" w:color="auto"/>
        <w:bottom w:val="none" w:sz="0" w:space="0" w:color="auto"/>
        <w:right w:val="none" w:sz="0" w:space="0" w:color="auto"/>
      </w:divBdr>
    </w:div>
    <w:div w:id="1996177229">
      <w:bodyDiv w:val="1"/>
      <w:marLeft w:val="0"/>
      <w:marRight w:val="0"/>
      <w:marTop w:val="0"/>
      <w:marBottom w:val="0"/>
      <w:divBdr>
        <w:top w:val="none" w:sz="0" w:space="0" w:color="auto"/>
        <w:left w:val="none" w:sz="0" w:space="0" w:color="auto"/>
        <w:bottom w:val="none" w:sz="0" w:space="0" w:color="auto"/>
        <w:right w:val="none" w:sz="0" w:space="0" w:color="auto"/>
      </w:divBdr>
    </w:div>
    <w:div w:id="2012636987">
      <w:bodyDiv w:val="1"/>
      <w:marLeft w:val="0"/>
      <w:marRight w:val="0"/>
      <w:marTop w:val="0"/>
      <w:marBottom w:val="0"/>
      <w:divBdr>
        <w:top w:val="none" w:sz="0" w:space="0" w:color="auto"/>
        <w:left w:val="none" w:sz="0" w:space="0" w:color="auto"/>
        <w:bottom w:val="none" w:sz="0" w:space="0" w:color="auto"/>
        <w:right w:val="none" w:sz="0" w:space="0" w:color="auto"/>
      </w:divBdr>
    </w:div>
    <w:div w:id="2097052851">
      <w:bodyDiv w:val="1"/>
      <w:marLeft w:val="0"/>
      <w:marRight w:val="0"/>
      <w:marTop w:val="0"/>
      <w:marBottom w:val="0"/>
      <w:divBdr>
        <w:top w:val="none" w:sz="0" w:space="0" w:color="auto"/>
        <w:left w:val="none" w:sz="0" w:space="0" w:color="auto"/>
        <w:bottom w:val="none" w:sz="0" w:space="0" w:color="auto"/>
        <w:right w:val="none" w:sz="0" w:space="0" w:color="auto"/>
      </w:divBdr>
    </w:div>
    <w:div w:id="2129274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2.e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image" Target="media/image1.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package" Target="embeddings/Microsoft_Word_Document.docx"/><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1094F0-CC99-4454-A4A1-4CD218573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49</Pages>
  <Words>15948</Words>
  <Characters>87719</Characters>
  <Application>Microsoft Office Word</Application>
  <DocSecurity>0</DocSecurity>
  <Lines>730</Lines>
  <Paragraphs>206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MNC</dc:creator>
  <cp:keywords/>
  <dc:description/>
  <cp:lastModifiedBy>hugues saman</cp:lastModifiedBy>
  <cp:revision>3</cp:revision>
  <dcterms:created xsi:type="dcterms:W3CDTF">2025-10-20T15:37:00Z</dcterms:created>
  <dcterms:modified xsi:type="dcterms:W3CDTF">2025-11-06T13:08:00Z</dcterms:modified>
</cp:coreProperties>
</file>